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Times New Roman" w:hAnsi="Times New Roman" w:eastAsia="方正小标宋简体" w:cs="Times New Roman"/>
          <w:color w:val="000000" w:themeColor="text1"/>
          <w:sz w:val="44"/>
          <w:szCs w:val="44"/>
        </w:rPr>
      </w:pPr>
    </w:p>
    <w:p>
      <w:pPr>
        <w:spacing w:line="560" w:lineRule="exact"/>
        <w:jc w:val="center"/>
        <w:rPr>
          <w:rFonts w:ascii="Times New Roman" w:hAnsi="Times New Roman" w:eastAsia="方正小标宋简体" w:cs="Times New Roman"/>
          <w:color w:val="000000" w:themeColor="text1"/>
          <w:sz w:val="44"/>
          <w:szCs w:val="44"/>
        </w:rPr>
      </w:pPr>
    </w:p>
    <w:p>
      <w:pPr>
        <w:spacing w:before="312" w:beforeLines="100" w:after="312" w:afterLines="100"/>
        <w:jc w:val="center"/>
        <w:rPr>
          <w:rFonts w:hint="eastAsia" w:ascii="方正小标宋简体" w:hAnsi="方正小标宋简体" w:eastAsia="方正小标宋简体" w:cs="方正小标宋简体"/>
          <w:color w:val="000000" w:themeColor="text1"/>
          <w:sz w:val="48"/>
          <w:szCs w:val="48"/>
        </w:rPr>
      </w:pPr>
      <w:r>
        <w:rPr>
          <w:rFonts w:hint="eastAsia" w:ascii="方正小标宋简体" w:hAnsi="方正小标宋简体" w:eastAsia="方正小标宋简体" w:cs="方正小标宋简体"/>
          <w:color w:val="000000" w:themeColor="text1"/>
          <w:sz w:val="48"/>
          <w:szCs w:val="48"/>
        </w:rPr>
        <w:t>安康市毛绒玩具文创产业发展规划</w:t>
      </w:r>
    </w:p>
    <w:p>
      <w:pPr>
        <w:jc w:val="center"/>
        <w:rPr>
          <w:rFonts w:hint="eastAsia" w:ascii="方正小标宋简体" w:hAnsi="方正小标宋简体" w:eastAsia="方正小标宋简体" w:cs="方正小标宋简体"/>
          <w:color w:val="000000" w:themeColor="text1"/>
          <w:sz w:val="44"/>
          <w:szCs w:val="44"/>
        </w:rPr>
      </w:pPr>
      <w:r>
        <w:rPr>
          <w:rFonts w:hint="eastAsia" w:ascii="方正小标宋简体" w:hAnsi="方正小标宋简体" w:eastAsia="方正小标宋简体" w:cs="方正小标宋简体"/>
          <w:color w:val="000000" w:themeColor="text1"/>
          <w:sz w:val="48"/>
          <w:szCs w:val="48"/>
        </w:rPr>
        <w:t>（2019—2025年）</w:t>
      </w:r>
    </w:p>
    <w:p>
      <w:pPr>
        <w:jc w:val="center"/>
        <w:rPr>
          <w:rFonts w:ascii="Times New Roman" w:hAnsi="Times New Roman" w:eastAsia="方正小标宋简体" w:cs="Times New Roman"/>
          <w:color w:val="000000" w:themeColor="text1"/>
          <w:sz w:val="44"/>
          <w:szCs w:val="44"/>
        </w:rPr>
      </w:pPr>
    </w:p>
    <w:p>
      <w:pPr>
        <w:jc w:val="center"/>
        <w:rPr>
          <w:rFonts w:ascii="Times New Roman" w:hAnsi="Times New Roman" w:eastAsia="方正小标宋简体" w:cs="Times New Roman"/>
          <w:color w:val="000000" w:themeColor="text1"/>
          <w:sz w:val="44"/>
          <w:szCs w:val="44"/>
        </w:rPr>
      </w:pPr>
    </w:p>
    <w:p>
      <w:pPr>
        <w:jc w:val="center"/>
        <w:rPr>
          <w:rFonts w:ascii="Times New Roman" w:hAnsi="Times New Roman" w:eastAsia="方正小标宋简体" w:cs="Times New Roman"/>
          <w:color w:val="000000" w:themeColor="text1"/>
          <w:sz w:val="44"/>
          <w:szCs w:val="44"/>
        </w:rPr>
      </w:pPr>
    </w:p>
    <w:p>
      <w:pPr>
        <w:jc w:val="center"/>
        <w:rPr>
          <w:rFonts w:ascii="Times New Roman" w:hAnsi="Times New Roman" w:eastAsia="方正小标宋简体" w:cs="Times New Roman"/>
          <w:color w:val="000000" w:themeColor="text1"/>
          <w:sz w:val="44"/>
          <w:szCs w:val="44"/>
        </w:rPr>
      </w:pPr>
    </w:p>
    <w:p>
      <w:pPr>
        <w:jc w:val="center"/>
        <w:rPr>
          <w:rFonts w:ascii="Times New Roman" w:hAnsi="Times New Roman" w:eastAsia="方正小标宋简体" w:cs="Times New Roman"/>
          <w:color w:val="000000" w:themeColor="text1"/>
          <w:sz w:val="44"/>
          <w:szCs w:val="44"/>
        </w:rPr>
      </w:pPr>
    </w:p>
    <w:p>
      <w:pPr>
        <w:jc w:val="center"/>
        <w:rPr>
          <w:rFonts w:ascii="Times New Roman" w:hAnsi="Times New Roman" w:eastAsia="方正小标宋简体" w:cs="Times New Roman"/>
          <w:color w:val="000000" w:themeColor="text1"/>
          <w:sz w:val="44"/>
          <w:szCs w:val="44"/>
        </w:rPr>
      </w:pPr>
    </w:p>
    <w:p>
      <w:pPr>
        <w:jc w:val="center"/>
        <w:rPr>
          <w:rFonts w:ascii="Times New Roman" w:hAnsi="Times New Roman" w:eastAsia="方正小标宋简体" w:cs="Times New Roman"/>
          <w:color w:val="000000" w:themeColor="text1"/>
          <w:sz w:val="44"/>
          <w:szCs w:val="44"/>
        </w:rPr>
      </w:pPr>
    </w:p>
    <w:p>
      <w:pPr>
        <w:jc w:val="center"/>
        <w:rPr>
          <w:rFonts w:ascii="Times New Roman" w:hAnsi="Times New Roman" w:eastAsia="方正小标宋简体" w:cs="Times New Roman"/>
          <w:color w:val="000000" w:themeColor="text1"/>
          <w:sz w:val="44"/>
          <w:szCs w:val="44"/>
        </w:rPr>
      </w:pPr>
    </w:p>
    <w:p>
      <w:pPr>
        <w:jc w:val="center"/>
        <w:rPr>
          <w:rFonts w:ascii="Times New Roman" w:hAnsi="Times New Roman" w:eastAsia="方正小标宋简体" w:cs="Times New Roman"/>
          <w:color w:val="000000" w:themeColor="text1"/>
          <w:sz w:val="44"/>
          <w:szCs w:val="44"/>
        </w:rPr>
      </w:pPr>
    </w:p>
    <w:p>
      <w:pPr>
        <w:jc w:val="center"/>
        <w:rPr>
          <w:rFonts w:ascii="Times New Roman" w:hAnsi="Times New Roman" w:eastAsia="方正小标宋简体" w:cs="Times New Roman"/>
          <w:color w:val="000000" w:themeColor="text1"/>
          <w:sz w:val="44"/>
          <w:szCs w:val="44"/>
        </w:rPr>
      </w:pPr>
    </w:p>
    <w:p>
      <w:pPr>
        <w:jc w:val="center"/>
        <w:rPr>
          <w:rFonts w:hint="eastAsia" w:ascii="仿宋_GB2312" w:hAnsi="仿宋_GB2312" w:eastAsia="仿宋_GB2312" w:cs="仿宋_GB2312"/>
          <w:b/>
          <w:bCs w:val="0"/>
          <w:color w:val="000000" w:themeColor="text1"/>
          <w:sz w:val="32"/>
          <w:szCs w:val="32"/>
        </w:rPr>
      </w:pPr>
      <w:r>
        <w:rPr>
          <w:rFonts w:hint="eastAsia" w:ascii="仿宋_GB2312" w:hAnsi="仿宋_GB2312" w:eastAsia="仿宋_GB2312" w:cs="仿宋_GB2312"/>
          <w:b/>
          <w:bCs w:val="0"/>
          <w:color w:val="000000" w:themeColor="text1"/>
          <w:sz w:val="32"/>
          <w:szCs w:val="32"/>
        </w:rPr>
        <w:t>安康市发展和改革委员会</w:t>
      </w:r>
    </w:p>
    <w:p>
      <w:pPr>
        <w:jc w:val="center"/>
        <w:rPr>
          <w:rFonts w:hint="eastAsia" w:ascii="仿宋" w:hAnsi="仿宋" w:eastAsia="仿宋" w:cs="Times New Roman"/>
          <w:b/>
          <w:bCs w:val="0"/>
          <w:color w:val="000000" w:themeColor="text1"/>
          <w:sz w:val="32"/>
          <w:szCs w:val="32"/>
        </w:rPr>
      </w:pPr>
      <w:r>
        <w:rPr>
          <w:rFonts w:hint="eastAsia" w:ascii="仿宋_GB2312" w:hAnsi="仿宋_GB2312" w:eastAsia="仿宋_GB2312" w:cs="仿宋_GB2312"/>
          <w:b/>
          <w:bCs w:val="0"/>
          <w:color w:val="000000" w:themeColor="text1"/>
          <w:sz w:val="32"/>
          <w:szCs w:val="32"/>
          <w:lang w:eastAsia="zh-CN"/>
        </w:rPr>
        <w:t>安康市毛绒玩具文创产业发展领导小组办公室</w:t>
      </w:r>
    </w:p>
    <w:p>
      <w:pPr>
        <w:jc w:val="center"/>
        <w:rPr>
          <w:rFonts w:ascii="楷体_GB2312" w:hAnsi="楷体" w:eastAsia="楷体_GB2312" w:cs="Times New Roman"/>
          <w:color w:val="000000" w:themeColor="text1"/>
          <w:szCs w:val="32"/>
        </w:rPr>
      </w:pPr>
    </w:p>
    <w:p>
      <w:pPr>
        <w:jc w:val="center"/>
        <w:rPr>
          <w:rFonts w:ascii="楷体_GB2312" w:hAnsi="楷体" w:eastAsia="楷体_GB2312" w:cs="Times New Roman"/>
          <w:color w:val="000000" w:themeColor="text1"/>
          <w:szCs w:val="32"/>
        </w:rPr>
      </w:pPr>
    </w:p>
    <w:p>
      <w:pPr>
        <w:jc w:val="center"/>
        <w:rPr>
          <w:rFonts w:ascii="楷体_GB2312" w:hAnsi="楷体" w:eastAsia="楷体_GB2312" w:cs="Times New Roman"/>
          <w:color w:val="000000" w:themeColor="text1"/>
          <w:szCs w:val="32"/>
        </w:rPr>
      </w:pPr>
    </w:p>
    <w:p>
      <w:pPr>
        <w:jc w:val="center"/>
        <w:rPr>
          <w:rFonts w:ascii="楷体_GB2312" w:hAnsi="楷体" w:eastAsia="楷体_GB2312" w:cs="Times New Roman"/>
          <w:color w:val="000000" w:themeColor="text1"/>
          <w:szCs w:val="32"/>
        </w:rPr>
        <w:sectPr>
          <w:footerReference r:id="rId3" w:type="default"/>
          <w:pgSz w:w="11906" w:h="16838"/>
          <w:pgMar w:top="2041" w:right="1474" w:bottom="1701" w:left="1587" w:header="851" w:footer="992" w:gutter="0"/>
          <w:pgNumType w:fmt="decimal"/>
          <w:cols w:space="0" w:num="1"/>
          <w:titlePg/>
          <w:rtlGutter w:val="0"/>
          <w:docGrid w:type="lines" w:linePitch="312" w:charSpace="0"/>
        </w:sectPr>
      </w:pPr>
    </w:p>
    <w:sdt>
      <w:sdtPr>
        <w:rPr>
          <w:rFonts w:asciiTheme="minorHAnsi" w:hAnsiTheme="minorHAnsi" w:eastAsiaTheme="minorEastAsia" w:cstheme="minorBidi"/>
          <w:b w:val="0"/>
          <w:bCs w:val="0"/>
          <w:color w:val="000000" w:themeColor="text1"/>
          <w:kern w:val="2"/>
          <w:sz w:val="21"/>
          <w:szCs w:val="22"/>
          <w:lang w:val="zh-CN"/>
        </w:rPr>
        <w:id w:val="-881167584"/>
        <w:docPartObj>
          <w:docPartGallery w:val="Table of Contents"/>
          <w:docPartUnique/>
        </w:docPartObj>
      </w:sdtPr>
      <w:sdtEndPr>
        <w:rPr>
          <w:rFonts w:ascii="黑体" w:hAnsi="黑体" w:eastAsia="黑体" w:cstheme="minorBidi"/>
          <w:b w:val="0"/>
          <w:bCs w:val="0"/>
          <w:color w:val="000000" w:themeColor="text1"/>
          <w:kern w:val="0"/>
          <w:sz w:val="24"/>
          <w:szCs w:val="24"/>
          <w:lang w:val="zh-CN"/>
        </w:rPr>
      </w:sdtEndPr>
      <w:sdtContent>
        <w:p>
          <w:pPr>
            <w:pStyle w:val="21"/>
            <w:spacing w:before="0" w:after="312" w:afterLines="100" w:line="240" w:lineRule="auto"/>
            <w:jc w:val="center"/>
            <w:rPr>
              <w:rFonts w:ascii="黑体" w:hAnsi="黑体" w:eastAsia="黑体"/>
              <w:color w:val="000000" w:themeColor="text1"/>
              <w:sz w:val="36"/>
              <w:szCs w:val="36"/>
            </w:rPr>
          </w:pPr>
          <w:r>
            <w:rPr>
              <w:rFonts w:ascii="黑体" w:hAnsi="黑体" w:eastAsia="黑体"/>
              <w:color w:val="000000" w:themeColor="text1"/>
              <w:sz w:val="36"/>
              <w:szCs w:val="36"/>
              <w:lang w:val="zh-CN"/>
            </w:rPr>
            <w:t>目</w:t>
          </w:r>
          <w:r>
            <w:rPr>
              <w:rFonts w:hint="eastAsia" w:ascii="黑体" w:hAnsi="黑体" w:eastAsia="黑体"/>
              <w:color w:val="000000" w:themeColor="text1"/>
              <w:sz w:val="36"/>
              <w:szCs w:val="36"/>
              <w:lang w:val="zh-CN"/>
            </w:rPr>
            <w:t xml:space="preserve"> </w:t>
          </w:r>
          <w:r>
            <w:rPr>
              <w:rFonts w:ascii="黑体" w:hAnsi="黑体" w:eastAsia="黑体"/>
              <w:color w:val="000000" w:themeColor="text1"/>
              <w:sz w:val="36"/>
              <w:szCs w:val="36"/>
              <w:lang w:val="zh-CN"/>
            </w:rPr>
            <w:t>录</w:t>
          </w:r>
        </w:p>
        <w:p>
          <w:pPr>
            <w:pStyle w:val="8"/>
            <w:spacing w:line="400" w:lineRule="exact"/>
            <w:rPr>
              <w:kern w:val="2"/>
              <w:sz w:val="21"/>
            </w:rPr>
          </w:pPr>
          <w:r>
            <w:rPr>
              <w:rFonts w:ascii="黑体" w:hAnsi="黑体" w:eastAsia="黑体"/>
              <w:color w:val="000000" w:themeColor="text1"/>
              <w:sz w:val="24"/>
              <w:szCs w:val="24"/>
            </w:rPr>
            <w:fldChar w:fldCharType="begin"/>
          </w:r>
          <w:r>
            <w:rPr>
              <w:rFonts w:ascii="黑体" w:hAnsi="黑体" w:eastAsia="黑体"/>
              <w:color w:val="000000" w:themeColor="text1"/>
              <w:sz w:val="24"/>
              <w:szCs w:val="24"/>
            </w:rPr>
            <w:instrText xml:space="preserve"> TOC \o "1-3" \h \z \u </w:instrText>
          </w:r>
          <w:r>
            <w:rPr>
              <w:rFonts w:ascii="黑体" w:hAnsi="黑体" w:eastAsia="黑体"/>
              <w:color w:val="000000" w:themeColor="text1"/>
              <w:sz w:val="24"/>
              <w:szCs w:val="24"/>
            </w:rPr>
            <w:fldChar w:fldCharType="separate"/>
          </w:r>
          <w:r>
            <w:fldChar w:fldCharType="begin"/>
          </w:r>
          <w:r>
            <w:instrText xml:space="preserve"> HYPERLINK \l "_Toc18287621" </w:instrText>
          </w:r>
          <w:r>
            <w:fldChar w:fldCharType="separate"/>
          </w:r>
          <w:r>
            <w:rPr>
              <w:rStyle w:val="16"/>
              <w:rFonts w:hint="eastAsia" w:ascii="黑体" w:hAnsi="黑体" w:eastAsia="黑体"/>
            </w:rPr>
            <w:t>序</w:t>
          </w:r>
          <w:r>
            <w:rPr>
              <w:rStyle w:val="16"/>
              <w:rFonts w:ascii="黑体" w:hAnsi="黑体" w:eastAsia="黑体"/>
            </w:rPr>
            <w:t xml:space="preserve"> </w:t>
          </w:r>
          <w:r>
            <w:rPr>
              <w:rStyle w:val="16"/>
              <w:rFonts w:hint="eastAsia" w:ascii="黑体" w:hAnsi="黑体" w:eastAsia="黑体"/>
            </w:rPr>
            <w:t>言</w:t>
          </w:r>
          <w:r>
            <w:tab/>
          </w:r>
          <w:r>
            <w:fldChar w:fldCharType="begin"/>
          </w:r>
          <w:r>
            <w:instrText xml:space="preserve"> PAGEREF _Toc18287621 \h </w:instrText>
          </w:r>
          <w:r>
            <w:fldChar w:fldCharType="separate"/>
          </w:r>
          <w:r>
            <w:t>1</w:t>
          </w:r>
          <w:r>
            <w:fldChar w:fldCharType="end"/>
          </w:r>
          <w:r>
            <w:fldChar w:fldCharType="end"/>
          </w:r>
        </w:p>
        <w:p>
          <w:pPr>
            <w:pStyle w:val="8"/>
            <w:spacing w:line="400" w:lineRule="exact"/>
            <w:rPr>
              <w:kern w:val="2"/>
              <w:sz w:val="21"/>
            </w:rPr>
          </w:pPr>
          <w:r>
            <w:fldChar w:fldCharType="begin"/>
          </w:r>
          <w:r>
            <w:instrText xml:space="preserve"> HYPERLINK \l "_Toc18287622" </w:instrText>
          </w:r>
          <w:r>
            <w:fldChar w:fldCharType="separate"/>
          </w:r>
          <w:r>
            <w:rPr>
              <w:rStyle w:val="16"/>
              <w:rFonts w:hint="eastAsia" w:ascii="黑体" w:hAnsi="黑体" w:eastAsia="黑体"/>
            </w:rPr>
            <w:t>一、发展基础</w:t>
          </w:r>
          <w:r>
            <w:tab/>
          </w:r>
          <w:r>
            <w:fldChar w:fldCharType="begin"/>
          </w:r>
          <w:r>
            <w:instrText xml:space="preserve"> PAGEREF _Toc18287622 \h </w:instrText>
          </w:r>
          <w:r>
            <w:fldChar w:fldCharType="separate"/>
          </w:r>
          <w:r>
            <w:t>1</w:t>
          </w:r>
          <w:r>
            <w:fldChar w:fldCharType="end"/>
          </w:r>
          <w:r>
            <w:fldChar w:fldCharType="end"/>
          </w:r>
        </w:p>
        <w:p>
          <w:pPr>
            <w:pStyle w:val="10"/>
            <w:tabs>
              <w:tab w:val="right" w:leader="dot" w:pos="8296"/>
            </w:tabs>
            <w:spacing w:after="0" w:line="400" w:lineRule="exact"/>
            <w:rPr>
              <w:kern w:val="2"/>
              <w:sz w:val="21"/>
            </w:rPr>
          </w:pPr>
          <w:r>
            <w:fldChar w:fldCharType="begin"/>
          </w:r>
          <w:r>
            <w:instrText xml:space="preserve"> HYPERLINK \l "_Toc18287623" </w:instrText>
          </w:r>
          <w:r>
            <w:fldChar w:fldCharType="separate"/>
          </w:r>
          <w:r>
            <w:rPr>
              <w:rStyle w:val="16"/>
              <w:rFonts w:hint="eastAsia" w:ascii="黑体" w:hAnsi="黑体" w:eastAsia="黑体"/>
            </w:rPr>
            <w:t>（一）发展背景</w:t>
          </w:r>
          <w:r>
            <w:tab/>
          </w:r>
          <w:r>
            <w:fldChar w:fldCharType="begin"/>
          </w:r>
          <w:r>
            <w:instrText xml:space="preserve"> PAGEREF _Toc18287623 \h </w:instrText>
          </w:r>
          <w:r>
            <w:fldChar w:fldCharType="separate"/>
          </w:r>
          <w:r>
            <w:t>1</w:t>
          </w:r>
          <w:r>
            <w:fldChar w:fldCharType="end"/>
          </w:r>
          <w:r>
            <w:fldChar w:fldCharType="end"/>
          </w:r>
        </w:p>
        <w:p>
          <w:pPr>
            <w:pStyle w:val="10"/>
            <w:tabs>
              <w:tab w:val="right" w:leader="dot" w:pos="8296"/>
            </w:tabs>
            <w:spacing w:after="0" w:line="400" w:lineRule="exact"/>
            <w:rPr>
              <w:kern w:val="2"/>
              <w:sz w:val="21"/>
            </w:rPr>
          </w:pPr>
          <w:r>
            <w:fldChar w:fldCharType="begin"/>
          </w:r>
          <w:r>
            <w:instrText xml:space="preserve"> HYPERLINK \l "_Toc18287624" </w:instrText>
          </w:r>
          <w:r>
            <w:fldChar w:fldCharType="separate"/>
          </w:r>
          <w:r>
            <w:rPr>
              <w:rStyle w:val="16"/>
              <w:rFonts w:hint="eastAsia" w:ascii="黑体" w:hAnsi="黑体" w:eastAsia="黑体"/>
            </w:rPr>
            <w:t>（二）发展现状与成效</w:t>
          </w:r>
          <w:r>
            <w:tab/>
          </w:r>
          <w:r>
            <w:fldChar w:fldCharType="begin"/>
          </w:r>
          <w:r>
            <w:instrText xml:space="preserve"> PAGEREF _Toc18287624 \h </w:instrText>
          </w:r>
          <w:r>
            <w:fldChar w:fldCharType="separate"/>
          </w:r>
          <w:r>
            <w:t>3</w:t>
          </w:r>
          <w:r>
            <w:fldChar w:fldCharType="end"/>
          </w:r>
          <w:r>
            <w:fldChar w:fldCharType="end"/>
          </w:r>
        </w:p>
        <w:p>
          <w:pPr>
            <w:pStyle w:val="10"/>
            <w:tabs>
              <w:tab w:val="right" w:leader="dot" w:pos="8296"/>
            </w:tabs>
            <w:spacing w:after="0" w:line="400" w:lineRule="exact"/>
            <w:rPr>
              <w:kern w:val="2"/>
              <w:sz w:val="21"/>
            </w:rPr>
          </w:pPr>
          <w:r>
            <w:fldChar w:fldCharType="begin"/>
          </w:r>
          <w:r>
            <w:instrText xml:space="preserve"> HYPERLINK \l "_Toc18287625" </w:instrText>
          </w:r>
          <w:r>
            <w:fldChar w:fldCharType="separate"/>
          </w:r>
          <w:r>
            <w:rPr>
              <w:rStyle w:val="16"/>
              <w:rFonts w:hint="eastAsia" w:ascii="黑体" w:hAnsi="黑体" w:eastAsia="黑体"/>
            </w:rPr>
            <w:t>（三）存在问题</w:t>
          </w:r>
          <w:r>
            <w:tab/>
          </w:r>
          <w:r>
            <w:fldChar w:fldCharType="begin"/>
          </w:r>
          <w:r>
            <w:instrText xml:space="preserve"> PAGEREF _Toc18287625 \h </w:instrText>
          </w:r>
          <w:r>
            <w:fldChar w:fldCharType="separate"/>
          </w:r>
          <w:r>
            <w:t>4</w:t>
          </w:r>
          <w:r>
            <w:fldChar w:fldCharType="end"/>
          </w:r>
          <w:r>
            <w:fldChar w:fldCharType="end"/>
          </w:r>
        </w:p>
        <w:p>
          <w:pPr>
            <w:pStyle w:val="8"/>
            <w:spacing w:line="400" w:lineRule="exact"/>
            <w:rPr>
              <w:kern w:val="2"/>
              <w:sz w:val="21"/>
            </w:rPr>
          </w:pPr>
          <w:r>
            <w:fldChar w:fldCharType="begin"/>
          </w:r>
          <w:r>
            <w:instrText xml:space="preserve"> HYPERLINK \l "_Toc18287626" </w:instrText>
          </w:r>
          <w:r>
            <w:fldChar w:fldCharType="separate"/>
          </w:r>
          <w:r>
            <w:rPr>
              <w:rStyle w:val="16"/>
              <w:rFonts w:hint="eastAsia" w:ascii="黑体" w:hAnsi="黑体" w:eastAsia="黑体"/>
            </w:rPr>
            <w:t>二、机遇与挑战</w:t>
          </w:r>
          <w:r>
            <w:tab/>
          </w:r>
          <w:r>
            <w:fldChar w:fldCharType="begin"/>
          </w:r>
          <w:r>
            <w:instrText xml:space="preserve"> PAGEREF _Toc18287626 \h </w:instrText>
          </w:r>
          <w:r>
            <w:fldChar w:fldCharType="separate"/>
          </w:r>
          <w:r>
            <w:t>5</w:t>
          </w:r>
          <w:r>
            <w:fldChar w:fldCharType="end"/>
          </w:r>
          <w:r>
            <w:fldChar w:fldCharType="end"/>
          </w:r>
        </w:p>
        <w:p>
          <w:pPr>
            <w:pStyle w:val="8"/>
            <w:spacing w:line="400" w:lineRule="exact"/>
            <w:rPr>
              <w:kern w:val="2"/>
              <w:sz w:val="21"/>
            </w:rPr>
          </w:pPr>
          <w:r>
            <w:fldChar w:fldCharType="begin"/>
          </w:r>
          <w:r>
            <w:instrText xml:space="preserve"> HYPERLINK \l "_Toc18287627" </w:instrText>
          </w:r>
          <w:r>
            <w:fldChar w:fldCharType="separate"/>
          </w:r>
          <w:r>
            <w:rPr>
              <w:rStyle w:val="16"/>
              <w:rFonts w:hint="eastAsia" w:ascii="黑体" w:hAnsi="黑体" w:eastAsia="黑体"/>
            </w:rPr>
            <w:t>三、总体思路</w:t>
          </w:r>
          <w:r>
            <w:tab/>
          </w:r>
          <w:r>
            <w:fldChar w:fldCharType="begin"/>
          </w:r>
          <w:r>
            <w:instrText xml:space="preserve"> PAGEREF _Toc18287627 \h </w:instrText>
          </w:r>
          <w:r>
            <w:fldChar w:fldCharType="separate"/>
          </w:r>
          <w:r>
            <w:t>6</w:t>
          </w:r>
          <w:r>
            <w:fldChar w:fldCharType="end"/>
          </w:r>
          <w:r>
            <w:fldChar w:fldCharType="end"/>
          </w:r>
        </w:p>
        <w:p>
          <w:pPr>
            <w:pStyle w:val="10"/>
            <w:tabs>
              <w:tab w:val="right" w:leader="dot" w:pos="8296"/>
            </w:tabs>
            <w:spacing w:after="0" w:line="400" w:lineRule="exact"/>
            <w:rPr>
              <w:kern w:val="2"/>
              <w:sz w:val="21"/>
            </w:rPr>
          </w:pPr>
          <w:r>
            <w:fldChar w:fldCharType="begin"/>
          </w:r>
          <w:r>
            <w:instrText xml:space="preserve"> HYPERLINK \l "_Toc18287628" </w:instrText>
          </w:r>
          <w:r>
            <w:fldChar w:fldCharType="separate"/>
          </w:r>
          <w:r>
            <w:rPr>
              <w:rStyle w:val="16"/>
              <w:rFonts w:hint="eastAsia" w:ascii="黑体" w:hAnsi="黑体" w:eastAsia="黑体"/>
            </w:rPr>
            <w:t>（一）指导思想</w:t>
          </w:r>
          <w:r>
            <w:tab/>
          </w:r>
          <w:r>
            <w:fldChar w:fldCharType="begin"/>
          </w:r>
          <w:r>
            <w:instrText xml:space="preserve"> PAGEREF _Toc18287628 \h </w:instrText>
          </w:r>
          <w:r>
            <w:fldChar w:fldCharType="separate"/>
          </w:r>
          <w:r>
            <w:t>6</w:t>
          </w:r>
          <w:r>
            <w:fldChar w:fldCharType="end"/>
          </w:r>
          <w:r>
            <w:fldChar w:fldCharType="end"/>
          </w:r>
        </w:p>
        <w:p>
          <w:pPr>
            <w:pStyle w:val="10"/>
            <w:tabs>
              <w:tab w:val="right" w:leader="dot" w:pos="8296"/>
            </w:tabs>
            <w:spacing w:after="0" w:line="400" w:lineRule="exact"/>
            <w:rPr>
              <w:kern w:val="2"/>
              <w:sz w:val="21"/>
            </w:rPr>
          </w:pPr>
          <w:r>
            <w:fldChar w:fldCharType="begin"/>
          </w:r>
          <w:r>
            <w:instrText xml:space="preserve"> HYPERLINK \l "_Toc18287629" </w:instrText>
          </w:r>
          <w:r>
            <w:fldChar w:fldCharType="separate"/>
          </w:r>
          <w:r>
            <w:rPr>
              <w:rStyle w:val="16"/>
              <w:rFonts w:hint="eastAsia" w:ascii="黑体" w:hAnsi="黑体" w:eastAsia="黑体"/>
            </w:rPr>
            <w:t>（二）发展定位</w:t>
          </w:r>
          <w:r>
            <w:tab/>
          </w:r>
          <w:r>
            <w:fldChar w:fldCharType="begin"/>
          </w:r>
          <w:r>
            <w:instrText xml:space="preserve"> PAGEREF _Toc18287629 \h </w:instrText>
          </w:r>
          <w:r>
            <w:fldChar w:fldCharType="separate"/>
          </w:r>
          <w:r>
            <w:t>6</w:t>
          </w:r>
          <w:r>
            <w:fldChar w:fldCharType="end"/>
          </w:r>
          <w:r>
            <w:fldChar w:fldCharType="end"/>
          </w:r>
        </w:p>
        <w:p>
          <w:pPr>
            <w:pStyle w:val="10"/>
            <w:tabs>
              <w:tab w:val="right" w:leader="dot" w:pos="8296"/>
            </w:tabs>
            <w:spacing w:after="0" w:line="400" w:lineRule="exact"/>
            <w:rPr>
              <w:kern w:val="2"/>
              <w:sz w:val="21"/>
            </w:rPr>
          </w:pPr>
          <w:r>
            <w:fldChar w:fldCharType="begin"/>
          </w:r>
          <w:r>
            <w:instrText xml:space="preserve"> HYPERLINK \l "_Toc18287630" </w:instrText>
          </w:r>
          <w:r>
            <w:fldChar w:fldCharType="separate"/>
          </w:r>
          <w:r>
            <w:rPr>
              <w:rStyle w:val="16"/>
              <w:rFonts w:hint="eastAsia" w:ascii="黑体" w:hAnsi="黑体" w:eastAsia="黑体"/>
            </w:rPr>
            <w:t>（三）发展模式</w:t>
          </w:r>
          <w:r>
            <w:tab/>
          </w:r>
          <w:r>
            <w:fldChar w:fldCharType="begin"/>
          </w:r>
          <w:r>
            <w:instrText xml:space="preserve"> PAGEREF _Toc18287630 \h </w:instrText>
          </w:r>
          <w:r>
            <w:fldChar w:fldCharType="separate"/>
          </w:r>
          <w:r>
            <w:t>7</w:t>
          </w:r>
          <w:r>
            <w:fldChar w:fldCharType="end"/>
          </w:r>
          <w:r>
            <w:fldChar w:fldCharType="end"/>
          </w:r>
        </w:p>
        <w:p>
          <w:pPr>
            <w:pStyle w:val="10"/>
            <w:tabs>
              <w:tab w:val="right" w:leader="dot" w:pos="8296"/>
            </w:tabs>
            <w:spacing w:after="0" w:line="400" w:lineRule="exact"/>
            <w:rPr>
              <w:kern w:val="2"/>
              <w:sz w:val="21"/>
            </w:rPr>
          </w:pPr>
          <w:r>
            <w:fldChar w:fldCharType="begin"/>
          </w:r>
          <w:r>
            <w:instrText xml:space="preserve"> HYPERLINK \l "_Toc18287631" </w:instrText>
          </w:r>
          <w:r>
            <w:fldChar w:fldCharType="separate"/>
          </w:r>
          <w:r>
            <w:rPr>
              <w:rStyle w:val="16"/>
              <w:rFonts w:hint="eastAsia" w:ascii="黑体" w:hAnsi="黑体" w:eastAsia="黑体"/>
            </w:rPr>
            <w:t>（四）发展目标</w:t>
          </w:r>
          <w:r>
            <w:tab/>
          </w:r>
          <w:r>
            <w:fldChar w:fldCharType="begin"/>
          </w:r>
          <w:r>
            <w:instrText xml:space="preserve"> PAGEREF _Toc18287631 \h </w:instrText>
          </w:r>
          <w:r>
            <w:fldChar w:fldCharType="separate"/>
          </w:r>
          <w:r>
            <w:t>8</w:t>
          </w:r>
          <w:r>
            <w:fldChar w:fldCharType="end"/>
          </w:r>
          <w:r>
            <w:fldChar w:fldCharType="end"/>
          </w:r>
        </w:p>
        <w:p>
          <w:pPr>
            <w:pStyle w:val="8"/>
            <w:spacing w:line="400" w:lineRule="exact"/>
            <w:rPr>
              <w:kern w:val="2"/>
              <w:sz w:val="21"/>
            </w:rPr>
          </w:pPr>
          <w:r>
            <w:fldChar w:fldCharType="begin"/>
          </w:r>
          <w:r>
            <w:instrText xml:space="preserve"> HYPERLINK \l "_Toc18287632" </w:instrText>
          </w:r>
          <w:r>
            <w:fldChar w:fldCharType="separate"/>
          </w:r>
          <w:r>
            <w:rPr>
              <w:rStyle w:val="16"/>
              <w:rFonts w:hint="eastAsia" w:ascii="黑体" w:hAnsi="黑体" w:eastAsia="黑体"/>
            </w:rPr>
            <w:t>四、产业布局</w:t>
          </w:r>
          <w:r>
            <w:tab/>
          </w:r>
          <w:r>
            <w:fldChar w:fldCharType="begin"/>
          </w:r>
          <w:r>
            <w:instrText xml:space="preserve"> PAGEREF _Toc18287632 \h </w:instrText>
          </w:r>
          <w:r>
            <w:fldChar w:fldCharType="separate"/>
          </w:r>
          <w:r>
            <w:t>10</w:t>
          </w:r>
          <w:r>
            <w:fldChar w:fldCharType="end"/>
          </w:r>
          <w:r>
            <w:fldChar w:fldCharType="end"/>
          </w:r>
        </w:p>
        <w:p>
          <w:pPr>
            <w:pStyle w:val="10"/>
            <w:tabs>
              <w:tab w:val="right" w:leader="dot" w:pos="8296"/>
            </w:tabs>
            <w:spacing w:after="0" w:line="400" w:lineRule="exact"/>
            <w:rPr>
              <w:kern w:val="2"/>
              <w:sz w:val="21"/>
            </w:rPr>
          </w:pPr>
          <w:r>
            <w:fldChar w:fldCharType="begin"/>
          </w:r>
          <w:r>
            <w:instrText xml:space="preserve"> HYPERLINK \l "_Toc18287633" </w:instrText>
          </w:r>
          <w:r>
            <w:fldChar w:fldCharType="separate"/>
          </w:r>
          <w:r>
            <w:rPr>
              <w:rStyle w:val="16"/>
              <w:rFonts w:hint="eastAsia" w:ascii="黑体" w:hAnsi="黑体" w:eastAsia="黑体"/>
            </w:rPr>
            <w:t>（一）多点</w:t>
          </w:r>
          <w:r>
            <w:tab/>
          </w:r>
          <w:r>
            <w:fldChar w:fldCharType="begin"/>
          </w:r>
          <w:r>
            <w:instrText xml:space="preserve"> PAGEREF _Toc18287633 \h </w:instrText>
          </w:r>
          <w:r>
            <w:fldChar w:fldCharType="separate"/>
          </w:r>
          <w:r>
            <w:t>10</w:t>
          </w:r>
          <w:r>
            <w:fldChar w:fldCharType="end"/>
          </w:r>
          <w:r>
            <w:fldChar w:fldCharType="end"/>
          </w:r>
        </w:p>
        <w:p>
          <w:pPr>
            <w:pStyle w:val="10"/>
            <w:tabs>
              <w:tab w:val="right" w:leader="dot" w:pos="8296"/>
            </w:tabs>
            <w:spacing w:after="0" w:line="400" w:lineRule="exact"/>
            <w:rPr>
              <w:kern w:val="2"/>
              <w:sz w:val="21"/>
            </w:rPr>
          </w:pPr>
          <w:r>
            <w:fldChar w:fldCharType="begin"/>
          </w:r>
          <w:r>
            <w:instrText xml:space="preserve"> HYPERLINK \l "_Toc18287634" </w:instrText>
          </w:r>
          <w:r>
            <w:fldChar w:fldCharType="separate"/>
          </w:r>
          <w:r>
            <w:rPr>
              <w:rStyle w:val="16"/>
              <w:rFonts w:hint="eastAsia" w:ascii="黑体" w:hAnsi="黑体" w:eastAsia="黑体"/>
            </w:rPr>
            <w:t>（二）两带</w:t>
          </w:r>
          <w:r>
            <w:tab/>
          </w:r>
          <w:r>
            <w:fldChar w:fldCharType="begin"/>
          </w:r>
          <w:r>
            <w:instrText xml:space="preserve"> PAGEREF _Toc18287634 \h </w:instrText>
          </w:r>
          <w:r>
            <w:fldChar w:fldCharType="separate"/>
          </w:r>
          <w:r>
            <w:t>10</w:t>
          </w:r>
          <w:r>
            <w:fldChar w:fldCharType="end"/>
          </w:r>
          <w:r>
            <w:fldChar w:fldCharType="end"/>
          </w:r>
        </w:p>
        <w:p>
          <w:pPr>
            <w:pStyle w:val="10"/>
            <w:tabs>
              <w:tab w:val="right" w:leader="dot" w:pos="8296"/>
            </w:tabs>
            <w:spacing w:after="0" w:line="400" w:lineRule="exact"/>
            <w:rPr>
              <w:kern w:val="2"/>
              <w:sz w:val="21"/>
            </w:rPr>
          </w:pPr>
          <w:r>
            <w:fldChar w:fldCharType="begin"/>
          </w:r>
          <w:r>
            <w:instrText xml:space="preserve"> HYPERLINK \l "_Toc18287635" </w:instrText>
          </w:r>
          <w:r>
            <w:fldChar w:fldCharType="separate"/>
          </w:r>
          <w:r>
            <w:rPr>
              <w:rStyle w:val="16"/>
              <w:rFonts w:hint="eastAsia" w:ascii="黑体" w:hAnsi="黑体" w:eastAsia="黑体"/>
            </w:rPr>
            <w:t>（三）一核</w:t>
          </w:r>
          <w:r>
            <w:tab/>
          </w:r>
          <w:r>
            <w:fldChar w:fldCharType="begin"/>
          </w:r>
          <w:r>
            <w:instrText xml:space="preserve"> PAGEREF _Toc18287635 \h </w:instrText>
          </w:r>
          <w:r>
            <w:fldChar w:fldCharType="separate"/>
          </w:r>
          <w:r>
            <w:t>12</w:t>
          </w:r>
          <w:r>
            <w:fldChar w:fldCharType="end"/>
          </w:r>
          <w:r>
            <w:fldChar w:fldCharType="end"/>
          </w:r>
        </w:p>
        <w:p>
          <w:pPr>
            <w:pStyle w:val="8"/>
            <w:spacing w:line="400" w:lineRule="exact"/>
            <w:rPr>
              <w:kern w:val="2"/>
              <w:sz w:val="21"/>
            </w:rPr>
          </w:pPr>
          <w:r>
            <w:fldChar w:fldCharType="begin"/>
          </w:r>
          <w:r>
            <w:instrText xml:space="preserve"> HYPERLINK \l "_Toc18287636" </w:instrText>
          </w:r>
          <w:r>
            <w:fldChar w:fldCharType="separate"/>
          </w:r>
          <w:r>
            <w:rPr>
              <w:rStyle w:val="16"/>
              <w:rFonts w:hint="eastAsia" w:ascii="黑体" w:hAnsi="黑体" w:eastAsia="黑体"/>
            </w:rPr>
            <w:t>五、重点任务</w:t>
          </w:r>
          <w:r>
            <w:tab/>
          </w:r>
          <w:r>
            <w:fldChar w:fldCharType="begin"/>
          </w:r>
          <w:r>
            <w:instrText xml:space="preserve"> PAGEREF _Toc18287636 \h </w:instrText>
          </w:r>
          <w:r>
            <w:fldChar w:fldCharType="separate"/>
          </w:r>
          <w:r>
            <w:t>12</w:t>
          </w:r>
          <w:r>
            <w:fldChar w:fldCharType="end"/>
          </w:r>
          <w:r>
            <w:fldChar w:fldCharType="end"/>
          </w:r>
        </w:p>
        <w:p>
          <w:pPr>
            <w:pStyle w:val="10"/>
            <w:tabs>
              <w:tab w:val="right" w:leader="dot" w:pos="8296"/>
            </w:tabs>
            <w:spacing w:after="0" w:line="400" w:lineRule="exact"/>
            <w:rPr>
              <w:kern w:val="2"/>
              <w:sz w:val="21"/>
            </w:rPr>
          </w:pPr>
          <w:r>
            <w:fldChar w:fldCharType="begin"/>
          </w:r>
          <w:r>
            <w:instrText xml:space="preserve"> HYPERLINK \l "_Toc18287637" </w:instrText>
          </w:r>
          <w:r>
            <w:fldChar w:fldCharType="separate"/>
          </w:r>
          <w:r>
            <w:rPr>
              <w:rStyle w:val="16"/>
              <w:rFonts w:hint="eastAsia" w:ascii="黑体" w:hAnsi="黑体" w:eastAsia="黑体"/>
            </w:rPr>
            <w:t>（一）基础设施建设行动</w:t>
          </w:r>
          <w:r>
            <w:tab/>
          </w:r>
          <w:r>
            <w:fldChar w:fldCharType="begin"/>
          </w:r>
          <w:r>
            <w:instrText xml:space="preserve"> PAGEREF _Toc18287637 \h </w:instrText>
          </w:r>
          <w:r>
            <w:fldChar w:fldCharType="separate"/>
          </w:r>
          <w:r>
            <w:t>12</w:t>
          </w:r>
          <w:r>
            <w:fldChar w:fldCharType="end"/>
          </w:r>
          <w:r>
            <w:fldChar w:fldCharType="end"/>
          </w:r>
        </w:p>
        <w:p>
          <w:pPr>
            <w:pStyle w:val="10"/>
            <w:tabs>
              <w:tab w:val="right" w:leader="dot" w:pos="8296"/>
            </w:tabs>
            <w:spacing w:after="0" w:line="400" w:lineRule="exact"/>
            <w:rPr>
              <w:kern w:val="2"/>
              <w:sz w:val="21"/>
            </w:rPr>
          </w:pPr>
          <w:r>
            <w:fldChar w:fldCharType="begin"/>
          </w:r>
          <w:r>
            <w:instrText xml:space="preserve"> HYPERLINK \l "_Toc18287638" </w:instrText>
          </w:r>
          <w:r>
            <w:fldChar w:fldCharType="separate"/>
          </w:r>
          <w:r>
            <w:rPr>
              <w:rStyle w:val="16"/>
              <w:rFonts w:hint="eastAsia" w:ascii="黑体" w:hAnsi="黑体" w:eastAsia="黑体"/>
            </w:rPr>
            <w:t>（二）人才引育行动</w:t>
          </w:r>
          <w:r>
            <w:tab/>
          </w:r>
          <w:r>
            <w:fldChar w:fldCharType="begin"/>
          </w:r>
          <w:r>
            <w:instrText xml:space="preserve"> PAGEREF _Toc18287638 \h </w:instrText>
          </w:r>
          <w:r>
            <w:fldChar w:fldCharType="separate"/>
          </w:r>
          <w:r>
            <w:t>14</w:t>
          </w:r>
          <w:r>
            <w:fldChar w:fldCharType="end"/>
          </w:r>
          <w:r>
            <w:fldChar w:fldCharType="end"/>
          </w:r>
        </w:p>
        <w:p>
          <w:pPr>
            <w:pStyle w:val="10"/>
            <w:tabs>
              <w:tab w:val="right" w:leader="dot" w:pos="8296"/>
            </w:tabs>
            <w:spacing w:after="0" w:line="400" w:lineRule="exact"/>
            <w:rPr>
              <w:kern w:val="2"/>
              <w:sz w:val="21"/>
            </w:rPr>
          </w:pPr>
          <w:r>
            <w:fldChar w:fldCharType="begin"/>
          </w:r>
          <w:r>
            <w:instrText xml:space="preserve"> HYPERLINK \l "_Toc18287639" </w:instrText>
          </w:r>
          <w:r>
            <w:fldChar w:fldCharType="separate"/>
          </w:r>
          <w:r>
            <w:rPr>
              <w:rStyle w:val="16"/>
              <w:rFonts w:hint="eastAsia" w:ascii="黑体" w:hAnsi="黑体" w:eastAsia="黑体"/>
            </w:rPr>
            <w:t>（三）精准招商行动</w:t>
          </w:r>
          <w:r>
            <w:tab/>
          </w:r>
          <w:r>
            <w:fldChar w:fldCharType="begin"/>
          </w:r>
          <w:r>
            <w:instrText xml:space="preserve"> PAGEREF _Toc18287639 \h </w:instrText>
          </w:r>
          <w:r>
            <w:fldChar w:fldCharType="separate"/>
          </w:r>
          <w:r>
            <w:t>15</w:t>
          </w:r>
          <w:r>
            <w:fldChar w:fldCharType="end"/>
          </w:r>
          <w:r>
            <w:fldChar w:fldCharType="end"/>
          </w:r>
        </w:p>
        <w:p>
          <w:pPr>
            <w:pStyle w:val="10"/>
            <w:tabs>
              <w:tab w:val="right" w:leader="dot" w:pos="8296"/>
            </w:tabs>
            <w:spacing w:after="0" w:line="400" w:lineRule="exact"/>
            <w:rPr>
              <w:kern w:val="2"/>
              <w:sz w:val="21"/>
            </w:rPr>
          </w:pPr>
          <w:r>
            <w:fldChar w:fldCharType="begin"/>
          </w:r>
          <w:r>
            <w:instrText xml:space="preserve"> HYPERLINK \l "_Toc18287640" </w:instrText>
          </w:r>
          <w:r>
            <w:fldChar w:fldCharType="separate"/>
          </w:r>
          <w:r>
            <w:rPr>
              <w:rStyle w:val="16"/>
              <w:rFonts w:hint="eastAsia" w:ascii="黑体" w:hAnsi="黑体" w:eastAsia="黑体"/>
            </w:rPr>
            <w:t>（四）文化创意提升行动</w:t>
          </w:r>
          <w:r>
            <w:tab/>
          </w:r>
          <w:r>
            <w:fldChar w:fldCharType="begin"/>
          </w:r>
          <w:r>
            <w:instrText xml:space="preserve"> PAGEREF _Toc18287640 \h </w:instrText>
          </w:r>
          <w:r>
            <w:fldChar w:fldCharType="separate"/>
          </w:r>
          <w:r>
            <w:t>17</w:t>
          </w:r>
          <w:r>
            <w:fldChar w:fldCharType="end"/>
          </w:r>
          <w:r>
            <w:fldChar w:fldCharType="end"/>
          </w:r>
        </w:p>
        <w:p>
          <w:pPr>
            <w:pStyle w:val="10"/>
            <w:tabs>
              <w:tab w:val="right" w:leader="dot" w:pos="8296"/>
            </w:tabs>
            <w:spacing w:after="0" w:line="400" w:lineRule="exact"/>
            <w:rPr>
              <w:kern w:val="2"/>
              <w:sz w:val="21"/>
            </w:rPr>
          </w:pPr>
          <w:r>
            <w:fldChar w:fldCharType="begin"/>
          </w:r>
          <w:r>
            <w:instrText xml:space="preserve"> HYPERLINK \l "_Toc18287641" </w:instrText>
          </w:r>
          <w:r>
            <w:fldChar w:fldCharType="separate"/>
          </w:r>
          <w:r>
            <w:rPr>
              <w:rStyle w:val="16"/>
              <w:rFonts w:hint="eastAsia" w:ascii="黑体" w:hAnsi="黑体" w:eastAsia="黑体"/>
            </w:rPr>
            <w:t>（五）自主品牌建设行动</w:t>
          </w:r>
          <w:r>
            <w:tab/>
          </w:r>
          <w:r>
            <w:fldChar w:fldCharType="begin"/>
          </w:r>
          <w:r>
            <w:instrText xml:space="preserve"> PAGEREF _Toc18287641 \h </w:instrText>
          </w:r>
          <w:r>
            <w:fldChar w:fldCharType="separate"/>
          </w:r>
          <w:r>
            <w:t>18</w:t>
          </w:r>
          <w:r>
            <w:fldChar w:fldCharType="end"/>
          </w:r>
          <w:r>
            <w:fldChar w:fldCharType="end"/>
          </w:r>
        </w:p>
        <w:p>
          <w:pPr>
            <w:pStyle w:val="10"/>
            <w:tabs>
              <w:tab w:val="right" w:leader="dot" w:pos="8296"/>
            </w:tabs>
            <w:spacing w:after="0" w:line="400" w:lineRule="exact"/>
            <w:rPr>
              <w:kern w:val="2"/>
              <w:sz w:val="21"/>
            </w:rPr>
          </w:pPr>
          <w:r>
            <w:fldChar w:fldCharType="begin"/>
          </w:r>
          <w:r>
            <w:instrText xml:space="preserve"> HYPERLINK \l "_Toc18287642" </w:instrText>
          </w:r>
          <w:r>
            <w:fldChar w:fldCharType="separate"/>
          </w:r>
          <w:r>
            <w:rPr>
              <w:rStyle w:val="16"/>
              <w:rFonts w:hint="eastAsia" w:ascii="黑体" w:hAnsi="黑体" w:eastAsia="黑体"/>
            </w:rPr>
            <w:t>（六）“五大中心”建设行动</w:t>
          </w:r>
          <w:r>
            <w:tab/>
          </w:r>
          <w:r>
            <w:fldChar w:fldCharType="begin"/>
          </w:r>
          <w:r>
            <w:instrText xml:space="preserve"> PAGEREF _Toc18287642 \h </w:instrText>
          </w:r>
          <w:r>
            <w:fldChar w:fldCharType="separate"/>
          </w:r>
          <w:r>
            <w:t>19</w:t>
          </w:r>
          <w:r>
            <w:fldChar w:fldCharType="end"/>
          </w:r>
          <w:r>
            <w:fldChar w:fldCharType="end"/>
          </w:r>
        </w:p>
        <w:p>
          <w:pPr>
            <w:pStyle w:val="10"/>
            <w:tabs>
              <w:tab w:val="right" w:leader="dot" w:pos="8296"/>
            </w:tabs>
            <w:spacing w:after="0" w:line="400" w:lineRule="exact"/>
            <w:rPr>
              <w:kern w:val="2"/>
              <w:sz w:val="21"/>
            </w:rPr>
          </w:pPr>
          <w:r>
            <w:fldChar w:fldCharType="begin"/>
          </w:r>
          <w:r>
            <w:instrText xml:space="preserve"> HYPERLINK \l "_Toc18287643" </w:instrText>
          </w:r>
          <w:r>
            <w:fldChar w:fldCharType="separate"/>
          </w:r>
          <w:r>
            <w:rPr>
              <w:rStyle w:val="16"/>
              <w:rFonts w:hint="eastAsia" w:ascii="黑体" w:hAnsi="黑体" w:eastAsia="黑体"/>
            </w:rPr>
            <w:t>（七）特色小镇建设行动</w:t>
          </w:r>
          <w:r>
            <w:tab/>
          </w:r>
          <w:r>
            <w:fldChar w:fldCharType="begin"/>
          </w:r>
          <w:r>
            <w:instrText xml:space="preserve"> PAGEREF _Toc18287643 \h </w:instrText>
          </w:r>
          <w:r>
            <w:fldChar w:fldCharType="separate"/>
          </w:r>
          <w:r>
            <w:t>20</w:t>
          </w:r>
          <w:r>
            <w:fldChar w:fldCharType="end"/>
          </w:r>
          <w:r>
            <w:fldChar w:fldCharType="end"/>
          </w:r>
        </w:p>
        <w:p>
          <w:pPr>
            <w:pStyle w:val="10"/>
            <w:tabs>
              <w:tab w:val="right" w:leader="dot" w:pos="8296"/>
            </w:tabs>
            <w:spacing w:after="0" w:line="400" w:lineRule="exact"/>
            <w:rPr>
              <w:kern w:val="2"/>
              <w:sz w:val="21"/>
            </w:rPr>
          </w:pPr>
          <w:r>
            <w:fldChar w:fldCharType="begin"/>
          </w:r>
          <w:r>
            <w:instrText xml:space="preserve"> HYPERLINK \l "_Toc18287644" </w:instrText>
          </w:r>
          <w:r>
            <w:fldChar w:fldCharType="separate"/>
          </w:r>
          <w:r>
            <w:rPr>
              <w:rStyle w:val="16"/>
              <w:rFonts w:hint="eastAsia" w:ascii="黑体" w:hAnsi="黑体" w:eastAsia="黑体"/>
            </w:rPr>
            <w:t>（八）内外贸开拓行动</w:t>
          </w:r>
          <w:r>
            <w:tab/>
          </w:r>
          <w:r>
            <w:fldChar w:fldCharType="begin"/>
          </w:r>
          <w:r>
            <w:instrText xml:space="preserve"> PAGEREF _Toc18287644 \h </w:instrText>
          </w:r>
          <w:r>
            <w:fldChar w:fldCharType="separate"/>
          </w:r>
          <w:r>
            <w:t>21</w:t>
          </w:r>
          <w:r>
            <w:fldChar w:fldCharType="end"/>
          </w:r>
          <w:r>
            <w:fldChar w:fldCharType="end"/>
          </w:r>
        </w:p>
        <w:p>
          <w:pPr>
            <w:pStyle w:val="8"/>
            <w:spacing w:line="400" w:lineRule="exact"/>
            <w:rPr>
              <w:kern w:val="2"/>
              <w:sz w:val="21"/>
            </w:rPr>
          </w:pPr>
          <w:r>
            <w:fldChar w:fldCharType="begin"/>
          </w:r>
          <w:r>
            <w:instrText xml:space="preserve"> HYPERLINK \l "_Toc18287645" </w:instrText>
          </w:r>
          <w:r>
            <w:fldChar w:fldCharType="separate"/>
          </w:r>
          <w:r>
            <w:rPr>
              <w:rStyle w:val="16"/>
              <w:rFonts w:hint="eastAsia" w:ascii="黑体" w:hAnsi="黑体" w:eastAsia="黑体"/>
            </w:rPr>
            <w:t>六、保障措施</w:t>
          </w:r>
          <w:r>
            <w:tab/>
          </w:r>
          <w:r>
            <w:fldChar w:fldCharType="begin"/>
          </w:r>
          <w:r>
            <w:instrText xml:space="preserve"> PAGEREF _Toc18287645 \h </w:instrText>
          </w:r>
          <w:r>
            <w:fldChar w:fldCharType="separate"/>
          </w:r>
          <w:r>
            <w:t>22</w:t>
          </w:r>
          <w:r>
            <w:fldChar w:fldCharType="end"/>
          </w:r>
          <w:r>
            <w:fldChar w:fldCharType="end"/>
          </w:r>
        </w:p>
        <w:p>
          <w:pPr>
            <w:pStyle w:val="10"/>
            <w:tabs>
              <w:tab w:val="right" w:leader="dot" w:pos="8296"/>
            </w:tabs>
            <w:spacing w:after="0" w:line="400" w:lineRule="exact"/>
            <w:rPr>
              <w:kern w:val="2"/>
              <w:sz w:val="21"/>
            </w:rPr>
          </w:pPr>
          <w:r>
            <w:fldChar w:fldCharType="begin"/>
          </w:r>
          <w:r>
            <w:instrText xml:space="preserve"> HYPERLINK \l "_Toc18287646" </w:instrText>
          </w:r>
          <w:r>
            <w:fldChar w:fldCharType="separate"/>
          </w:r>
          <w:r>
            <w:rPr>
              <w:rStyle w:val="16"/>
              <w:rFonts w:hint="eastAsia" w:ascii="黑体" w:hAnsi="黑体" w:eastAsia="黑体"/>
            </w:rPr>
            <w:t>（一）组织保障</w:t>
          </w:r>
          <w:r>
            <w:tab/>
          </w:r>
          <w:r>
            <w:fldChar w:fldCharType="begin"/>
          </w:r>
          <w:r>
            <w:instrText xml:space="preserve"> PAGEREF _Toc18287646 \h </w:instrText>
          </w:r>
          <w:r>
            <w:fldChar w:fldCharType="separate"/>
          </w:r>
          <w:r>
            <w:t>22</w:t>
          </w:r>
          <w:r>
            <w:fldChar w:fldCharType="end"/>
          </w:r>
          <w:r>
            <w:fldChar w:fldCharType="end"/>
          </w:r>
        </w:p>
        <w:p>
          <w:pPr>
            <w:pStyle w:val="10"/>
            <w:tabs>
              <w:tab w:val="right" w:leader="dot" w:pos="8296"/>
            </w:tabs>
            <w:spacing w:after="0" w:line="400" w:lineRule="exact"/>
            <w:rPr>
              <w:kern w:val="2"/>
              <w:sz w:val="21"/>
            </w:rPr>
          </w:pPr>
          <w:r>
            <w:fldChar w:fldCharType="begin"/>
          </w:r>
          <w:r>
            <w:instrText xml:space="preserve"> HYPERLINK \l "_Toc18287647" </w:instrText>
          </w:r>
          <w:r>
            <w:fldChar w:fldCharType="separate"/>
          </w:r>
          <w:r>
            <w:rPr>
              <w:rStyle w:val="16"/>
              <w:rFonts w:hint="eastAsia" w:ascii="黑体" w:hAnsi="黑体" w:eastAsia="黑体"/>
            </w:rPr>
            <w:t>（二）政策保障</w:t>
          </w:r>
          <w:r>
            <w:tab/>
          </w:r>
          <w:r>
            <w:fldChar w:fldCharType="begin"/>
          </w:r>
          <w:r>
            <w:instrText xml:space="preserve"> PAGEREF _Toc18287647 \h </w:instrText>
          </w:r>
          <w:r>
            <w:fldChar w:fldCharType="separate"/>
          </w:r>
          <w:r>
            <w:t>23</w:t>
          </w:r>
          <w:r>
            <w:fldChar w:fldCharType="end"/>
          </w:r>
          <w:r>
            <w:fldChar w:fldCharType="end"/>
          </w:r>
        </w:p>
        <w:p>
          <w:pPr>
            <w:pStyle w:val="10"/>
            <w:tabs>
              <w:tab w:val="right" w:leader="dot" w:pos="8296"/>
            </w:tabs>
            <w:spacing w:after="0" w:line="400" w:lineRule="exact"/>
            <w:rPr>
              <w:kern w:val="2"/>
              <w:sz w:val="21"/>
            </w:rPr>
          </w:pPr>
          <w:r>
            <w:fldChar w:fldCharType="begin"/>
          </w:r>
          <w:r>
            <w:instrText xml:space="preserve"> HYPERLINK \l "_Toc18287648" </w:instrText>
          </w:r>
          <w:r>
            <w:fldChar w:fldCharType="separate"/>
          </w:r>
          <w:r>
            <w:rPr>
              <w:rStyle w:val="16"/>
              <w:rFonts w:hint="eastAsia" w:ascii="黑体" w:hAnsi="黑体" w:eastAsia="黑体"/>
            </w:rPr>
            <w:t>（三）服务保障</w:t>
          </w:r>
          <w:r>
            <w:tab/>
          </w:r>
          <w:r>
            <w:fldChar w:fldCharType="begin"/>
          </w:r>
          <w:r>
            <w:instrText xml:space="preserve"> PAGEREF _Toc18287648 \h </w:instrText>
          </w:r>
          <w:r>
            <w:fldChar w:fldCharType="separate"/>
          </w:r>
          <w:r>
            <w:t>25</w:t>
          </w:r>
          <w:r>
            <w:fldChar w:fldCharType="end"/>
          </w:r>
          <w:r>
            <w:fldChar w:fldCharType="end"/>
          </w:r>
        </w:p>
        <w:p>
          <w:pPr>
            <w:pStyle w:val="10"/>
            <w:tabs>
              <w:tab w:val="right" w:leader="dot" w:pos="8296"/>
            </w:tabs>
            <w:spacing w:after="0" w:line="400" w:lineRule="exact"/>
            <w:rPr>
              <w:kern w:val="2"/>
              <w:sz w:val="21"/>
            </w:rPr>
          </w:pPr>
          <w:r>
            <w:fldChar w:fldCharType="begin"/>
          </w:r>
          <w:r>
            <w:instrText xml:space="preserve"> HYPERLINK \l "_Toc18287649" </w:instrText>
          </w:r>
          <w:r>
            <w:fldChar w:fldCharType="separate"/>
          </w:r>
          <w:r>
            <w:rPr>
              <w:rStyle w:val="16"/>
              <w:rFonts w:hint="eastAsia" w:ascii="黑体" w:hAnsi="黑体" w:eastAsia="黑体"/>
            </w:rPr>
            <w:t>（四）宣传保障</w:t>
          </w:r>
          <w:r>
            <w:tab/>
          </w:r>
          <w:r>
            <w:fldChar w:fldCharType="begin"/>
          </w:r>
          <w:r>
            <w:instrText xml:space="preserve"> PAGEREF _Toc18287649 \h </w:instrText>
          </w:r>
          <w:r>
            <w:fldChar w:fldCharType="separate"/>
          </w:r>
          <w:r>
            <w:t>25</w:t>
          </w:r>
          <w:r>
            <w:fldChar w:fldCharType="end"/>
          </w:r>
          <w:r>
            <w:fldChar w:fldCharType="end"/>
          </w:r>
        </w:p>
        <w:p>
          <w:pPr>
            <w:pStyle w:val="10"/>
            <w:tabs>
              <w:tab w:val="right" w:leader="dot" w:pos="8296"/>
            </w:tabs>
            <w:spacing w:after="0" w:line="400" w:lineRule="exact"/>
            <w:rPr>
              <w:rFonts w:ascii="黑体" w:hAnsi="黑体" w:eastAsia="黑体"/>
              <w:color w:val="000000" w:themeColor="text1"/>
              <w:sz w:val="24"/>
              <w:szCs w:val="24"/>
            </w:rPr>
          </w:pPr>
          <w:r>
            <w:rPr>
              <w:rFonts w:ascii="黑体" w:hAnsi="黑体" w:eastAsia="黑体"/>
              <w:color w:val="000000" w:themeColor="text1"/>
              <w:sz w:val="24"/>
              <w:szCs w:val="24"/>
            </w:rPr>
            <w:fldChar w:fldCharType="end"/>
          </w:r>
        </w:p>
      </w:sdtContent>
    </w:sdt>
    <w:p>
      <w:pPr>
        <w:rPr>
          <w:rFonts w:ascii="黑体" w:hAnsi="黑体" w:eastAsia="黑体"/>
          <w:color w:val="000000" w:themeColor="text1"/>
          <w:sz w:val="24"/>
          <w:szCs w:val="24"/>
        </w:rPr>
        <w:sectPr>
          <w:pgSz w:w="11906" w:h="16838"/>
          <w:pgMar w:top="1440" w:right="1800" w:bottom="1440" w:left="1800" w:header="851" w:footer="992" w:gutter="0"/>
          <w:pgNumType w:fmt="decimal"/>
          <w:cols w:space="425" w:num="1"/>
          <w:docGrid w:type="lines" w:linePitch="312" w:charSpace="0"/>
        </w:sectPr>
      </w:pPr>
    </w:p>
    <w:p>
      <w:pPr>
        <w:pStyle w:val="2"/>
        <w:pageBreakBefore w:val="0"/>
        <w:kinsoku/>
        <w:wordWrap/>
        <w:overflowPunct/>
        <w:topLinePunct w:val="0"/>
        <w:autoSpaceDE/>
        <w:autoSpaceDN/>
        <w:bidi w:val="0"/>
        <w:adjustRightInd/>
        <w:snapToGrid/>
        <w:spacing w:before="0" w:after="0" w:line="560" w:lineRule="exact"/>
        <w:jc w:val="center"/>
        <w:textAlignment w:val="auto"/>
        <w:rPr>
          <w:rFonts w:hint="eastAsia" w:ascii="方正小标宋简体" w:hAnsi="方正小标宋简体" w:eastAsia="方正小标宋简体" w:cs="方正小标宋简体"/>
          <w:b w:val="0"/>
          <w:bCs w:val="0"/>
          <w:color w:val="000000" w:themeColor="text1"/>
          <w:sz w:val="40"/>
          <w:szCs w:val="40"/>
        </w:rPr>
      </w:pPr>
      <w:bookmarkStart w:id="0" w:name="_Toc7270784"/>
      <w:bookmarkStart w:id="1" w:name="_Toc9674853"/>
      <w:bookmarkStart w:id="2" w:name="_Toc18287621"/>
      <w:bookmarkStart w:id="3" w:name="_Toc7209682"/>
      <w:bookmarkStart w:id="4" w:name="_Toc7209706"/>
      <w:bookmarkStart w:id="5" w:name="_Toc4588646"/>
      <w:bookmarkStart w:id="6" w:name="_Toc8658483"/>
      <w:bookmarkStart w:id="7" w:name="_Toc12454019"/>
      <w:r>
        <w:rPr>
          <w:rFonts w:hint="eastAsia" w:ascii="方正小标宋简体" w:hAnsi="方正小标宋简体" w:eastAsia="方正小标宋简体" w:cs="方正小标宋简体"/>
          <w:b w:val="0"/>
          <w:bCs w:val="0"/>
          <w:color w:val="000000" w:themeColor="text1"/>
          <w:sz w:val="40"/>
          <w:szCs w:val="40"/>
        </w:rPr>
        <w:t>序 言</w:t>
      </w:r>
      <w:bookmarkEnd w:id="0"/>
      <w:bookmarkEnd w:id="1"/>
      <w:bookmarkEnd w:id="2"/>
      <w:bookmarkEnd w:id="3"/>
    </w:p>
    <w:p>
      <w:pPr>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eastAsia" w:ascii="仿宋" w:hAnsi="仿宋" w:eastAsia="仿宋" w:cs="Arial"/>
          <w:color w:val="000000" w:themeColor="text1"/>
          <w:sz w:val="32"/>
          <w:szCs w:val="32"/>
          <w:shd w:val="clear" w:color="auto" w:fill="FFFFFF"/>
        </w:rPr>
      </w:pPr>
    </w:p>
    <w:p>
      <w:pPr>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shd w:val="clear" w:color="auto" w:fill="FFFFFF"/>
        </w:rPr>
        <w:t>毛绒玩具文创产业是我国传统外贸出口产业，具有产业链条长、污染能耗低、就业容量大、带动能力强、市场前景广等优点。安康发展毛绒玩具文创产业是推动新型城镇化建设、实施乡村振兴战略、深化苏陕协作、完善社会治理的重大实践，也是实现脱贫增收的重要举措。为贯彻落实习近平新时代中国特色社会主义经济思想，加快推进供给侧结构性改革和经济转型升级，培育新的经济增长点，推进全市经济社会全面健康可持续发展，依据国家《西部大开发“十三五”规划》、国务院《关于贯彻落实区域发展战略促进区域协调发展的指导意见》以及《汉江生态经济带发展规划》，按照《陕西省“十三五”陕南绿色循环发展规划》和《安康市国民经济和社会发展第十三个五年规划纲要》的部署，特制定本规划。规划期限为2019年-2025年。规划实施过程中，适时进行滚动调整。</w:t>
      </w:r>
    </w:p>
    <w:p>
      <w:pPr>
        <w:pStyle w:val="2"/>
        <w:pageBreakBefore w:val="0"/>
        <w:widowControl w:val="0"/>
        <w:kinsoku/>
        <w:wordWrap/>
        <w:overflowPunct/>
        <w:topLinePunct w:val="0"/>
        <w:autoSpaceDE/>
        <w:autoSpaceDN/>
        <w:bidi w:val="0"/>
        <w:adjustRightInd/>
        <w:snapToGrid/>
        <w:spacing w:before="0" w:after="0" w:line="560" w:lineRule="exact"/>
        <w:ind w:firstLine="640" w:firstLineChars="200"/>
        <w:jc w:val="both"/>
        <w:textAlignment w:val="auto"/>
        <w:rPr>
          <w:rFonts w:ascii="黑体" w:hAnsi="黑体" w:eastAsia="黑体"/>
          <w:b w:val="0"/>
          <w:bCs w:val="0"/>
          <w:color w:val="000000" w:themeColor="text1"/>
          <w:sz w:val="32"/>
          <w:szCs w:val="32"/>
        </w:rPr>
      </w:pPr>
      <w:bookmarkStart w:id="8" w:name="_Toc7270785"/>
      <w:bookmarkStart w:id="9" w:name="_Toc493321469"/>
      <w:bookmarkStart w:id="10" w:name="_Toc18287622"/>
      <w:bookmarkStart w:id="11" w:name="_Toc7209683"/>
      <w:bookmarkStart w:id="12" w:name="_Toc493167554"/>
      <w:bookmarkStart w:id="13" w:name="_Toc9674854"/>
      <w:r>
        <w:rPr>
          <w:rFonts w:hint="eastAsia" w:ascii="黑体" w:hAnsi="黑体" w:eastAsia="黑体"/>
          <w:b w:val="0"/>
          <w:bCs w:val="0"/>
          <w:color w:val="000000" w:themeColor="text1"/>
          <w:sz w:val="32"/>
          <w:szCs w:val="32"/>
        </w:rPr>
        <w:t>一、发展基础</w:t>
      </w:r>
      <w:bookmarkEnd w:id="8"/>
      <w:bookmarkEnd w:id="9"/>
      <w:bookmarkEnd w:id="10"/>
      <w:bookmarkEnd w:id="11"/>
      <w:bookmarkEnd w:id="12"/>
      <w:bookmarkEnd w:id="13"/>
    </w:p>
    <w:p>
      <w:pPr>
        <w:pStyle w:val="3"/>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楷体_GB2312" w:hAnsi="楷体_GB2312" w:eastAsia="楷体_GB2312" w:cs="楷体_GB2312"/>
          <w:b/>
          <w:bCs w:val="0"/>
          <w:color w:val="000000" w:themeColor="text1"/>
        </w:rPr>
      </w:pPr>
      <w:bookmarkStart w:id="14" w:name="_Toc493167555"/>
      <w:bookmarkStart w:id="15" w:name="_Toc493321470"/>
      <w:bookmarkStart w:id="16" w:name="_Toc7209684"/>
      <w:bookmarkStart w:id="17" w:name="_Toc18287623"/>
      <w:bookmarkStart w:id="18" w:name="_Toc9674855"/>
      <w:bookmarkStart w:id="19" w:name="_Toc7270786"/>
      <w:r>
        <w:rPr>
          <w:rFonts w:hint="eastAsia" w:ascii="楷体_GB2312" w:hAnsi="楷体_GB2312" w:eastAsia="楷体_GB2312" w:cs="楷体_GB2312"/>
          <w:b/>
          <w:bCs w:val="0"/>
          <w:color w:val="000000" w:themeColor="text1"/>
        </w:rPr>
        <w:t>（一）</w:t>
      </w:r>
      <w:bookmarkEnd w:id="14"/>
      <w:bookmarkEnd w:id="15"/>
      <w:r>
        <w:rPr>
          <w:rFonts w:hint="eastAsia" w:ascii="楷体_GB2312" w:hAnsi="楷体_GB2312" w:eastAsia="楷体_GB2312" w:cs="楷体_GB2312"/>
          <w:b/>
          <w:bCs w:val="0"/>
          <w:color w:val="000000" w:themeColor="text1"/>
        </w:rPr>
        <w:t>发展背景</w:t>
      </w:r>
      <w:bookmarkEnd w:id="16"/>
      <w:bookmarkEnd w:id="17"/>
      <w:bookmarkEnd w:id="18"/>
      <w:bookmarkEnd w:id="19"/>
    </w:p>
    <w:p>
      <w:pPr>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color w:val="000000" w:themeColor="text1"/>
          <w:sz w:val="32"/>
          <w:szCs w:val="32"/>
          <w:shd w:val="clear" w:color="auto" w:fill="FFFFFF"/>
        </w:rPr>
        <w:t>毛绒玩具文创产业属于劳动密集行业。据2018年统计，毛绒玩具是全球玩具市场中增长速度最快的热销类玩具，销量增长了14%。发达国家的毛绒玩具巨头凭借长期发展所形成的庞大规模、知名品牌、强大的研发能力、新颖的创意、全球渗透的推广手段和稳定的销售渠道占据高端市场。而中低端市场以发展中国家的毛绒玩具制造企业为主，这些企业主要以代工生产、OEM贴牌的方式进行运营。</w:t>
      </w:r>
    </w:p>
    <w:p>
      <w:pPr>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color w:val="000000" w:themeColor="text1"/>
          <w:sz w:val="32"/>
          <w:szCs w:val="32"/>
          <w:shd w:val="clear" w:color="auto" w:fill="FFFFFF"/>
        </w:rPr>
        <w:t>中国已经成为国际上重要的毛绒玩具制造基地和毛绒玩具出口国，在全球 160 多个国家和地区进行销售，在欧盟、美国、香港地区和日本等主要世界玩具市场上占有75%左右的市场份额。欧盟市场上约80%的毛绒玩具从我国进口。江苏省是我国毛绒玩具的传统产区，占据我国玩具贸易出口总额的12%左右。近年来，随着人民币升值、原材料涨价、劳动力成本上升、国外质量认证日益严格，东部发达地区玩具企业生产成本大幅上升，抵御风险的能力越来越弱。</w:t>
      </w:r>
    </w:p>
    <w:p>
      <w:pPr>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color w:val="000000" w:themeColor="text1"/>
          <w:sz w:val="32"/>
          <w:szCs w:val="32"/>
          <w:shd w:val="clear" w:color="auto" w:fill="FFFFFF"/>
        </w:rPr>
        <w:t>安康市位于陕西省东南部，是国家“一带一路”建设重要连接点，是古丝绸之路蚕丝之源。在国家西部大开发战略中，安康成为连接南北、贯通东西，接通西北与西南及中南地区的枢纽重镇。作为国家南水北调中线工程的核心水源区，安康承担着“一江清水供北京”的光荣使命和政治责任。安康市也是秦巴山深度贫困集中区，是陕西省脱贫攻坚主战场的核心战区。国家和陕西省主体功能区建设、深度贫困地区脱贫攻坚、川陕革命老区振兴、陕南绿色循环发展等政策叠加效应明显，助力安康调整产业结构、优化发展模式、加快发展步伐。按照中省脱贫攻坚和移民搬迁有关精神，安康大力建设新移民搬迁社区，围绕“搬得出、稳得住、能致富”的工作目标，依托人力资源成本优势，结合社区和周边空间容量，引进和发展毛绒玩具文创产业，有效地解决剩余劳动力转移就业问题。</w:t>
      </w:r>
    </w:p>
    <w:p>
      <w:pPr>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color w:val="000000" w:themeColor="text1"/>
          <w:sz w:val="32"/>
          <w:szCs w:val="32"/>
          <w:shd w:val="clear" w:color="auto" w:fill="FFFFFF"/>
        </w:rPr>
        <w:t>毛绒玩具文创产业对生产线流程快速接续要求不高，其较简单的技术工艺和低就业门槛，能够提供稳定柔性就业，且受制于上游生产的限制因素较少，能够通过快速聚集形成配套产业链，与安康劳动密集型产业发展能够紧密有效契合，符合安康开放兴市与绿色循环的发展要求。</w:t>
      </w:r>
    </w:p>
    <w:p>
      <w:pPr>
        <w:pStyle w:val="3"/>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楷体_GB2312" w:hAnsi="楷体_GB2312" w:eastAsia="楷体_GB2312" w:cs="楷体_GB2312"/>
          <w:b/>
          <w:bCs w:val="0"/>
          <w:color w:val="000000" w:themeColor="text1"/>
        </w:rPr>
      </w:pPr>
      <w:bookmarkStart w:id="20" w:name="_Toc7270787"/>
      <w:bookmarkStart w:id="21" w:name="_Toc7209685"/>
      <w:bookmarkStart w:id="22" w:name="_Toc9674856"/>
      <w:bookmarkStart w:id="23" w:name="_Toc18287624"/>
      <w:r>
        <w:rPr>
          <w:rFonts w:hint="eastAsia" w:ascii="楷体_GB2312" w:hAnsi="楷体_GB2312" w:eastAsia="楷体_GB2312" w:cs="楷体_GB2312"/>
          <w:b/>
          <w:bCs w:val="0"/>
          <w:color w:val="000000" w:themeColor="text1"/>
        </w:rPr>
        <w:t>（二）</w:t>
      </w:r>
      <w:bookmarkEnd w:id="20"/>
      <w:bookmarkEnd w:id="21"/>
      <w:bookmarkStart w:id="24" w:name="_Toc7270788"/>
      <w:bookmarkStart w:id="25" w:name="_Toc7209686"/>
      <w:r>
        <w:rPr>
          <w:rFonts w:hint="eastAsia" w:ascii="楷体_GB2312" w:hAnsi="楷体_GB2312" w:eastAsia="楷体_GB2312" w:cs="楷体_GB2312"/>
          <w:b/>
          <w:bCs w:val="0"/>
          <w:color w:val="000000" w:themeColor="text1"/>
        </w:rPr>
        <w:t>发展现状与成效</w:t>
      </w:r>
      <w:bookmarkEnd w:id="22"/>
      <w:bookmarkEnd w:id="23"/>
      <w:bookmarkEnd w:id="24"/>
      <w:bookmarkEnd w:id="25"/>
    </w:p>
    <w:p>
      <w:pPr>
        <w:pageBreakBefore w:val="0"/>
        <w:widowControl w:val="0"/>
        <w:kinsoku/>
        <w:wordWrap/>
        <w:overflowPunct/>
        <w:topLinePunct w:val="0"/>
        <w:autoSpaceDE/>
        <w:autoSpaceDN/>
        <w:bidi w:val="0"/>
        <w:adjustRightInd/>
        <w:snapToGrid/>
        <w:spacing w:line="560" w:lineRule="exact"/>
        <w:ind w:firstLine="641"/>
        <w:jc w:val="both"/>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color w:val="000000" w:themeColor="text1"/>
          <w:sz w:val="32"/>
          <w:szCs w:val="32"/>
          <w:shd w:val="clear" w:color="auto" w:fill="FFFFFF"/>
        </w:rPr>
        <w:t>2017年以来，在国家东西部地区扶贫协作的大背景下，安康市按照“市域统筹、县区主战、社区承载、协同联动”的发展思路，以脱贫攻坚为载体，以产业扶贫为重点，以社区工厂为抓手，毛绒玩具文创产业发展初显成效，促进就业、社区繁荣、社会和谐。市委、市政府制定了《关于加快推进毛绒玩具文创产业发展打造安康新兴支柱产业的意见》（安政发[2018]16号），设立1亿元毛绒玩具文创产业发展资金，通过“一企一策、一事一议”等办法，积极促进毛绒玩具生产招商落地、加快建设、稳步发展。坚持因地制宜、统筹兼顾，积极创新“新社区工厂”和“企业+社区+贫困户”等成功做法，稳步推进新型工业化与城镇化发展。全市已累计建成1154个避灾移民搬迁集中安置社区和242.55万平方米园区标准化厂房，聚集人口50余万人，具备了产业聚集的基础条件和发展劳动密集型产业的先决条件。截止2019年</w:t>
      </w:r>
      <w:r>
        <w:rPr>
          <w:rFonts w:hint="eastAsia" w:ascii="仿宋_GB2312" w:hAnsi="仿宋_GB2312" w:eastAsia="仿宋_GB2312" w:cs="仿宋_GB2312"/>
          <w:color w:val="000000" w:themeColor="text1"/>
          <w:sz w:val="32"/>
          <w:szCs w:val="32"/>
          <w:shd w:val="clear" w:color="auto" w:fill="FFFFFF"/>
          <w:lang w:val="en-US" w:eastAsia="zh-CN"/>
        </w:rPr>
        <w:t>9</w:t>
      </w:r>
      <w:r>
        <w:rPr>
          <w:rFonts w:hint="eastAsia" w:ascii="仿宋_GB2312" w:hAnsi="仿宋_GB2312" w:eastAsia="仿宋_GB2312" w:cs="仿宋_GB2312"/>
          <w:color w:val="000000" w:themeColor="text1"/>
          <w:sz w:val="32"/>
          <w:szCs w:val="32"/>
          <w:shd w:val="clear" w:color="auto" w:fill="FFFFFF"/>
        </w:rPr>
        <w:t>月底，全市累计</w:t>
      </w:r>
      <w:r>
        <w:rPr>
          <w:rFonts w:hint="eastAsia" w:ascii="仿宋_GB2312" w:hAnsi="仿宋_GB2312" w:eastAsia="仿宋_GB2312" w:cs="仿宋_GB2312"/>
          <w:color w:val="000000" w:themeColor="text1"/>
          <w:sz w:val="32"/>
          <w:szCs w:val="32"/>
          <w:shd w:val="clear" w:color="auto" w:fill="FFFFFF"/>
          <w:lang w:eastAsia="zh-CN"/>
        </w:rPr>
        <w:t>建成</w:t>
      </w:r>
      <w:r>
        <w:rPr>
          <w:rFonts w:hint="eastAsia" w:ascii="仿宋_GB2312" w:hAnsi="仿宋_GB2312" w:eastAsia="仿宋_GB2312" w:cs="仿宋_GB2312"/>
          <w:color w:val="000000" w:themeColor="text1"/>
          <w:sz w:val="32"/>
          <w:szCs w:val="32"/>
          <w:shd w:val="clear" w:color="auto" w:fill="FFFFFF"/>
        </w:rPr>
        <w:t>新社区工厂</w:t>
      </w:r>
      <w:r>
        <w:rPr>
          <w:rFonts w:hint="eastAsia" w:ascii="仿宋_GB2312" w:hAnsi="仿宋_GB2312" w:eastAsia="仿宋_GB2312" w:cs="仿宋_GB2312"/>
          <w:color w:val="000000" w:themeColor="text1"/>
          <w:sz w:val="32"/>
          <w:szCs w:val="32"/>
          <w:shd w:val="clear" w:color="auto" w:fill="FFFFFF"/>
          <w:lang w:val="en-US" w:eastAsia="zh-CN"/>
        </w:rPr>
        <w:t>458</w:t>
      </w:r>
      <w:r>
        <w:rPr>
          <w:rFonts w:hint="eastAsia" w:ascii="仿宋_GB2312" w:hAnsi="仿宋_GB2312" w:eastAsia="仿宋_GB2312" w:cs="仿宋_GB2312"/>
          <w:color w:val="000000" w:themeColor="text1"/>
          <w:sz w:val="32"/>
          <w:szCs w:val="32"/>
          <w:shd w:val="clear" w:color="auto" w:fill="FFFFFF"/>
        </w:rPr>
        <w:t>家，吸纳就业</w:t>
      </w:r>
      <w:r>
        <w:rPr>
          <w:rFonts w:hint="eastAsia" w:ascii="仿宋_GB2312" w:hAnsi="仿宋_GB2312" w:eastAsia="仿宋_GB2312" w:cs="仿宋_GB2312"/>
          <w:color w:val="000000" w:themeColor="text1"/>
          <w:sz w:val="32"/>
          <w:szCs w:val="32"/>
          <w:shd w:val="clear" w:color="auto" w:fill="FFFFFF"/>
          <w:lang w:val="en-US" w:eastAsia="zh-CN"/>
        </w:rPr>
        <w:t>18982</w:t>
      </w:r>
      <w:r>
        <w:rPr>
          <w:rFonts w:hint="eastAsia" w:ascii="仿宋_GB2312" w:hAnsi="仿宋_GB2312" w:eastAsia="仿宋_GB2312" w:cs="仿宋_GB2312"/>
          <w:color w:val="000000" w:themeColor="text1"/>
          <w:sz w:val="32"/>
          <w:szCs w:val="32"/>
          <w:shd w:val="clear" w:color="auto" w:fill="FFFFFF"/>
        </w:rPr>
        <w:t>人，其中贫困劳动力</w:t>
      </w:r>
      <w:r>
        <w:rPr>
          <w:rFonts w:hint="eastAsia" w:ascii="仿宋_GB2312" w:hAnsi="仿宋_GB2312" w:eastAsia="仿宋_GB2312" w:cs="仿宋_GB2312"/>
          <w:color w:val="000000" w:themeColor="text1"/>
          <w:sz w:val="32"/>
          <w:szCs w:val="32"/>
          <w:shd w:val="clear" w:color="auto" w:fill="FFFFFF"/>
          <w:lang w:val="en-US" w:eastAsia="zh-CN"/>
        </w:rPr>
        <w:t>6277</w:t>
      </w:r>
      <w:r>
        <w:rPr>
          <w:rFonts w:hint="eastAsia" w:ascii="仿宋_GB2312" w:hAnsi="仿宋_GB2312" w:eastAsia="仿宋_GB2312" w:cs="仿宋_GB2312"/>
          <w:color w:val="000000" w:themeColor="text1"/>
          <w:sz w:val="32"/>
          <w:szCs w:val="32"/>
          <w:shd w:val="clear" w:color="auto" w:fill="FFFFFF"/>
        </w:rPr>
        <w:t>人。毛绒玩具企业投产并生产经营正常的</w:t>
      </w:r>
      <w:r>
        <w:rPr>
          <w:rFonts w:hint="eastAsia" w:ascii="仿宋_GB2312" w:hAnsi="仿宋_GB2312" w:eastAsia="仿宋_GB2312" w:cs="仿宋_GB2312"/>
          <w:color w:val="000000" w:themeColor="text1"/>
          <w:sz w:val="32"/>
          <w:szCs w:val="32"/>
          <w:shd w:val="clear" w:color="auto" w:fill="FFFFFF"/>
          <w:lang w:val="en-US" w:eastAsia="zh-CN"/>
        </w:rPr>
        <w:t>175</w:t>
      </w:r>
      <w:r>
        <w:rPr>
          <w:rFonts w:hint="eastAsia" w:ascii="仿宋_GB2312" w:hAnsi="仿宋_GB2312" w:eastAsia="仿宋_GB2312" w:cs="仿宋_GB2312"/>
          <w:color w:val="000000" w:themeColor="text1"/>
          <w:sz w:val="32"/>
          <w:szCs w:val="32"/>
          <w:shd w:val="clear" w:color="auto" w:fill="FFFFFF"/>
        </w:rPr>
        <w:t>家，吸纳就业</w:t>
      </w:r>
      <w:r>
        <w:rPr>
          <w:rFonts w:hint="eastAsia" w:ascii="仿宋_GB2312" w:hAnsi="仿宋_GB2312" w:eastAsia="仿宋_GB2312" w:cs="仿宋_GB2312"/>
          <w:color w:val="000000" w:themeColor="text1"/>
          <w:sz w:val="32"/>
          <w:szCs w:val="32"/>
          <w:shd w:val="clear" w:color="auto" w:fill="FFFFFF"/>
          <w:lang w:val="en-US" w:eastAsia="zh-CN"/>
        </w:rPr>
        <w:t>8462</w:t>
      </w:r>
      <w:r>
        <w:rPr>
          <w:rFonts w:hint="eastAsia" w:ascii="仿宋_GB2312" w:hAnsi="仿宋_GB2312" w:eastAsia="仿宋_GB2312" w:cs="仿宋_GB2312"/>
          <w:color w:val="000000" w:themeColor="text1"/>
          <w:sz w:val="32"/>
          <w:szCs w:val="32"/>
          <w:shd w:val="clear" w:color="auto" w:fill="FFFFFF"/>
        </w:rPr>
        <w:t>人，其中贫困劳动力</w:t>
      </w:r>
      <w:r>
        <w:rPr>
          <w:rFonts w:hint="eastAsia" w:ascii="仿宋_GB2312" w:hAnsi="仿宋_GB2312" w:eastAsia="仿宋_GB2312" w:cs="仿宋_GB2312"/>
          <w:color w:val="000000" w:themeColor="text1"/>
          <w:sz w:val="32"/>
          <w:szCs w:val="32"/>
          <w:shd w:val="clear" w:color="auto" w:fill="FFFFFF"/>
          <w:lang w:val="en-US" w:eastAsia="zh-CN"/>
        </w:rPr>
        <w:t>2467</w:t>
      </w:r>
      <w:r>
        <w:rPr>
          <w:rFonts w:hint="eastAsia" w:ascii="仿宋_GB2312" w:hAnsi="仿宋_GB2312" w:eastAsia="仿宋_GB2312" w:cs="仿宋_GB2312"/>
          <w:color w:val="000000" w:themeColor="text1"/>
          <w:sz w:val="32"/>
          <w:szCs w:val="32"/>
          <w:shd w:val="clear" w:color="auto" w:fill="FFFFFF"/>
        </w:rPr>
        <w:t>人。毛绒玩具产业累计实现产值</w:t>
      </w:r>
      <w:r>
        <w:rPr>
          <w:rFonts w:hint="eastAsia" w:ascii="仿宋_GB2312" w:hAnsi="仿宋_GB2312" w:eastAsia="仿宋_GB2312" w:cs="仿宋_GB2312"/>
          <w:color w:val="000000" w:themeColor="text1"/>
          <w:sz w:val="32"/>
          <w:szCs w:val="32"/>
          <w:shd w:val="clear" w:color="auto" w:fill="FFFFFF"/>
          <w:lang w:val="en-US" w:eastAsia="zh-CN"/>
        </w:rPr>
        <w:t>9.24</w:t>
      </w:r>
      <w:r>
        <w:rPr>
          <w:rFonts w:hint="eastAsia" w:ascii="仿宋_GB2312" w:hAnsi="仿宋_GB2312" w:eastAsia="仿宋_GB2312" w:cs="仿宋_GB2312"/>
          <w:color w:val="000000" w:themeColor="text1"/>
          <w:sz w:val="32"/>
          <w:szCs w:val="32"/>
          <w:shd w:val="clear" w:color="auto" w:fill="FFFFFF"/>
        </w:rPr>
        <w:t>亿元。以毛绒玩具文创产业为重点的新社区工厂，受到社会各界的广泛关注，入选全国精准扶贫十佳典型经验和中国改革十大案例。国家和陕西省主要领导前来安康考察调研毛绒玩具文创产业发展情况，给予高度评价。中央电视台、《人民日报》、新华网、《光明日报》等国家级主流媒体多次进行了深度报道。</w:t>
      </w:r>
    </w:p>
    <w:p>
      <w:pPr>
        <w:pStyle w:val="3"/>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楷体_GB2312" w:hAnsi="楷体_GB2312" w:eastAsia="楷体_GB2312" w:cs="楷体_GB2312"/>
          <w:b/>
          <w:bCs w:val="0"/>
          <w:color w:val="000000" w:themeColor="text1"/>
        </w:rPr>
      </w:pPr>
      <w:bookmarkStart w:id="26" w:name="_Toc493321475"/>
      <w:bookmarkStart w:id="27" w:name="_Toc493167560"/>
      <w:bookmarkStart w:id="28" w:name="_Toc7209687"/>
      <w:bookmarkStart w:id="29" w:name="_Toc7270789"/>
      <w:bookmarkStart w:id="30" w:name="_Toc18287625"/>
      <w:bookmarkStart w:id="31" w:name="_Toc9674857"/>
      <w:r>
        <w:rPr>
          <w:rFonts w:hint="eastAsia" w:ascii="楷体_GB2312" w:hAnsi="楷体_GB2312" w:eastAsia="楷体_GB2312" w:cs="楷体_GB2312"/>
          <w:b/>
          <w:bCs w:val="0"/>
          <w:color w:val="000000" w:themeColor="text1"/>
        </w:rPr>
        <w:t>（三）</w:t>
      </w:r>
      <w:bookmarkEnd w:id="26"/>
      <w:bookmarkEnd w:id="27"/>
      <w:r>
        <w:rPr>
          <w:rFonts w:hint="eastAsia" w:ascii="楷体_GB2312" w:hAnsi="楷体_GB2312" w:eastAsia="楷体_GB2312" w:cs="楷体_GB2312"/>
          <w:b/>
          <w:bCs w:val="0"/>
          <w:color w:val="000000" w:themeColor="text1"/>
        </w:rPr>
        <w:t>存在问题</w:t>
      </w:r>
      <w:bookmarkEnd w:id="28"/>
      <w:bookmarkEnd w:id="29"/>
      <w:bookmarkEnd w:id="30"/>
      <w:bookmarkEnd w:id="31"/>
    </w:p>
    <w:p>
      <w:pPr>
        <w:pageBreakBefore w:val="0"/>
        <w:widowControl w:val="0"/>
        <w:kinsoku/>
        <w:wordWrap/>
        <w:overflowPunct/>
        <w:topLinePunct w:val="0"/>
        <w:autoSpaceDE/>
        <w:autoSpaceDN/>
        <w:bidi w:val="0"/>
        <w:adjustRightInd/>
        <w:snapToGrid/>
        <w:spacing w:line="560" w:lineRule="exact"/>
        <w:ind w:firstLine="641"/>
        <w:jc w:val="both"/>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b/>
          <w:bCs/>
          <w:color w:val="000000" w:themeColor="text1"/>
          <w:sz w:val="32"/>
          <w:szCs w:val="32"/>
          <w:shd w:val="clear" w:color="auto" w:fill="FFFFFF"/>
        </w:rPr>
        <w:t>——基础设施不配套。</w:t>
      </w:r>
      <w:r>
        <w:rPr>
          <w:rFonts w:hint="eastAsia" w:ascii="仿宋_GB2312" w:hAnsi="仿宋_GB2312" w:eastAsia="仿宋_GB2312" w:cs="仿宋_GB2312"/>
          <w:color w:val="000000" w:themeColor="text1"/>
          <w:sz w:val="32"/>
          <w:szCs w:val="32"/>
          <w:shd w:val="clear" w:color="auto" w:fill="FFFFFF"/>
        </w:rPr>
        <w:t>标准化厂房不足，许多有实力的外地企业因无厂房不能落地。毛绒玩具面料、PP棉等主要原材料基地建设缺乏支持政策，与毛绒玩具生产相关联的设备和辅料仍需从外埠输入，原材料购进与成品售出产生的物流运输消耗占总成本的20%以上，企业普遍反映物流成本高，运输效率低，影响企业生产经营。</w:t>
      </w:r>
    </w:p>
    <w:p>
      <w:pPr>
        <w:pageBreakBefore w:val="0"/>
        <w:widowControl w:val="0"/>
        <w:kinsoku/>
        <w:wordWrap/>
        <w:overflowPunct/>
        <w:topLinePunct w:val="0"/>
        <w:autoSpaceDE/>
        <w:autoSpaceDN/>
        <w:bidi w:val="0"/>
        <w:adjustRightInd/>
        <w:snapToGrid/>
        <w:spacing w:line="560" w:lineRule="exact"/>
        <w:ind w:firstLine="641"/>
        <w:jc w:val="both"/>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b/>
          <w:bCs/>
          <w:color w:val="000000" w:themeColor="text1"/>
          <w:sz w:val="32"/>
          <w:szCs w:val="32"/>
          <w:shd w:val="clear" w:color="auto" w:fill="FFFFFF"/>
        </w:rPr>
        <w:t>——产业链条不完善。</w:t>
      </w:r>
      <w:r>
        <w:rPr>
          <w:rFonts w:hint="eastAsia" w:ascii="仿宋_GB2312" w:hAnsi="仿宋_GB2312" w:eastAsia="仿宋_GB2312" w:cs="仿宋_GB2312"/>
          <w:color w:val="000000" w:themeColor="text1"/>
          <w:sz w:val="32"/>
          <w:szCs w:val="32"/>
          <w:shd w:val="clear" w:color="auto" w:fill="FFFFFF"/>
        </w:rPr>
        <w:t>毛绒玩具文创产业链条短，企业大多依靠订单来料加工和OEM贴牌方式来组织生产，自主开发能力较低，产品科技含量较少，难以进军高端市场，难以掌握发展的主动权。文创设计、原辅材料生产及交易、品牌运营推广、营销策划及推广等附加价值较高的产业链环节还不完备。聚集产业的能力较弱，产业规模偏小，品牌市场知名度低，产业竞争优势不明显。</w:t>
      </w:r>
    </w:p>
    <w:p>
      <w:pPr>
        <w:pageBreakBefore w:val="0"/>
        <w:widowControl w:val="0"/>
        <w:kinsoku/>
        <w:wordWrap/>
        <w:overflowPunct/>
        <w:topLinePunct w:val="0"/>
        <w:autoSpaceDE/>
        <w:autoSpaceDN/>
        <w:bidi w:val="0"/>
        <w:adjustRightInd/>
        <w:snapToGrid/>
        <w:spacing w:line="560" w:lineRule="exact"/>
        <w:ind w:firstLine="641"/>
        <w:jc w:val="both"/>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b/>
          <w:bCs/>
          <w:color w:val="000000" w:themeColor="text1"/>
          <w:sz w:val="32"/>
          <w:szCs w:val="32"/>
          <w:shd w:val="clear" w:color="auto" w:fill="FFFFFF"/>
        </w:rPr>
        <w:t>——劳动力技能素质不高。</w:t>
      </w:r>
      <w:r>
        <w:rPr>
          <w:rFonts w:hint="eastAsia" w:ascii="仿宋_GB2312" w:hAnsi="仿宋_GB2312" w:eastAsia="仿宋_GB2312" w:cs="仿宋_GB2312"/>
          <w:color w:val="000000" w:themeColor="text1"/>
          <w:sz w:val="32"/>
          <w:szCs w:val="32"/>
          <w:shd w:val="clear" w:color="auto" w:fill="FFFFFF"/>
        </w:rPr>
        <w:t>人力资源保障不足，一些县区出现劳动力资源紧缺的现象。现有劳动力缺乏基本的操作技能培训，农民向产业工人转变的意识较低，企业在岗提升培训的成本较大。同时高层次管理、设计和营销人才缺乏，在产业转移初期，投资方工厂管理人员全部从外调入，企业成本相应增加。毛绒玩具企业“人难招、人难留、人难用”，在一定程度上影响了产业就业吸引力和生产积极性。</w:t>
      </w:r>
    </w:p>
    <w:p>
      <w:pPr>
        <w:pStyle w:val="2"/>
        <w:pageBreakBefore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黑体" w:hAnsi="黑体" w:eastAsia="黑体"/>
          <w:b w:val="0"/>
          <w:bCs w:val="0"/>
          <w:color w:val="000000" w:themeColor="text1"/>
          <w:sz w:val="32"/>
          <w:szCs w:val="32"/>
        </w:rPr>
      </w:pPr>
      <w:bookmarkStart w:id="32" w:name="_Toc7209688"/>
      <w:bookmarkStart w:id="33" w:name="_Toc18287626"/>
      <w:bookmarkStart w:id="34" w:name="_Toc9674858"/>
      <w:bookmarkStart w:id="35" w:name="_Toc7270790"/>
      <w:r>
        <w:rPr>
          <w:rFonts w:hint="eastAsia" w:ascii="黑体" w:hAnsi="黑体" w:eastAsia="黑体"/>
          <w:b w:val="0"/>
          <w:bCs w:val="0"/>
          <w:color w:val="000000" w:themeColor="text1"/>
          <w:sz w:val="32"/>
          <w:szCs w:val="32"/>
        </w:rPr>
        <w:t>二、机遇与挑战</w:t>
      </w:r>
      <w:bookmarkEnd w:id="32"/>
      <w:bookmarkEnd w:id="33"/>
      <w:bookmarkEnd w:id="34"/>
      <w:bookmarkEnd w:id="35"/>
    </w:p>
    <w:p>
      <w:pPr>
        <w:pageBreakBefore w:val="0"/>
        <w:widowControl w:val="0"/>
        <w:kinsoku/>
        <w:wordWrap/>
        <w:overflowPunct/>
        <w:topLinePunct w:val="0"/>
        <w:autoSpaceDE/>
        <w:autoSpaceDN/>
        <w:bidi w:val="0"/>
        <w:adjustRightInd/>
        <w:snapToGrid/>
        <w:spacing w:line="560" w:lineRule="exact"/>
        <w:ind w:firstLine="641"/>
        <w:jc w:val="both"/>
        <w:textAlignment w:val="auto"/>
        <w:rPr>
          <w:rFonts w:hint="eastAsia" w:ascii="仿宋_GB2312" w:hAnsi="仿宋_GB2312" w:eastAsia="仿宋_GB2312" w:cs="仿宋_GB2312"/>
          <w:color w:val="000000" w:themeColor="text1"/>
          <w:sz w:val="32"/>
          <w:szCs w:val="32"/>
          <w:shd w:val="clear" w:color="auto" w:fill="FFFFFF"/>
        </w:rPr>
      </w:pPr>
      <w:bookmarkStart w:id="36" w:name="_Toc493167566"/>
      <w:bookmarkStart w:id="37" w:name="_Toc493321481"/>
      <w:bookmarkStart w:id="38" w:name="_Toc7209689"/>
      <w:bookmarkStart w:id="39" w:name="_Toc7270791"/>
      <w:bookmarkStart w:id="40" w:name="_Toc9674859"/>
      <w:r>
        <w:rPr>
          <w:rFonts w:hint="eastAsia" w:ascii="仿宋_GB2312" w:hAnsi="仿宋_GB2312" w:eastAsia="仿宋_GB2312" w:cs="仿宋_GB2312"/>
          <w:color w:val="000000" w:themeColor="text1"/>
          <w:sz w:val="32"/>
          <w:szCs w:val="32"/>
          <w:shd w:val="clear" w:color="auto" w:fill="FFFFFF"/>
        </w:rPr>
        <w:t>经过持续努力，安康毛绒玩具文创产业发展迈上了新台阶，站在了新起点，进入了新阶段，面临着新机遇、新挑战。</w:t>
      </w:r>
    </w:p>
    <w:p>
      <w:pPr>
        <w:pageBreakBefore w:val="0"/>
        <w:widowControl w:val="0"/>
        <w:kinsoku/>
        <w:wordWrap/>
        <w:overflowPunct/>
        <w:topLinePunct w:val="0"/>
        <w:autoSpaceDE/>
        <w:autoSpaceDN/>
        <w:bidi w:val="0"/>
        <w:adjustRightInd/>
        <w:snapToGrid/>
        <w:spacing w:line="560" w:lineRule="exact"/>
        <w:ind w:firstLine="641"/>
        <w:jc w:val="both"/>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color w:val="000000" w:themeColor="text1"/>
          <w:sz w:val="32"/>
          <w:szCs w:val="32"/>
          <w:shd w:val="clear" w:color="auto" w:fill="FFFFFF"/>
        </w:rPr>
        <w:t>从机遇条件来看，国家推动“一带一路”建设、推动长江经济带发展、实施乡村振兴战略、促进区域协调发展等一大批国家战略叠加推进，中央加大秦巴山片区、川陕革命老区振兴发展和脱贫攻坚力度，支持安康依托资源禀赋优势，制定符合各自特点的发展思路和发展目标。省委、省政府加快陕南绿色循环发展和陕南避灾移民搬迁，支持安康围绕“三个经济”发展，积极承接东部地区产业转移，实现经济版图向东向南扩展，打造省际边界开放经济带。安康大力发展毛绒玩具文创产业，高度契合了供给侧结构性改革和高质量发展理念和中省的战略重点。</w:t>
      </w:r>
    </w:p>
    <w:p>
      <w:pPr>
        <w:pageBreakBefore w:val="0"/>
        <w:widowControl w:val="0"/>
        <w:kinsoku/>
        <w:wordWrap/>
        <w:overflowPunct/>
        <w:topLinePunct w:val="0"/>
        <w:autoSpaceDE/>
        <w:autoSpaceDN/>
        <w:bidi w:val="0"/>
        <w:adjustRightInd/>
        <w:snapToGrid/>
        <w:spacing w:line="560" w:lineRule="exact"/>
        <w:ind w:firstLine="641"/>
        <w:jc w:val="both"/>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color w:val="000000" w:themeColor="text1"/>
          <w:sz w:val="32"/>
          <w:szCs w:val="32"/>
          <w:shd w:val="clear" w:color="auto" w:fill="FFFFFF"/>
        </w:rPr>
        <w:t>从面临挑战来看，</w:t>
      </w:r>
      <w:bookmarkEnd w:id="36"/>
      <w:bookmarkEnd w:id="37"/>
      <w:bookmarkEnd w:id="38"/>
      <w:bookmarkEnd w:id="39"/>
      <w:bookmarkEnd w:id="40"/>
      <w:bookmarkStart w:id="41" w:name="_Toc439021325"/>
      <w:bookmarkStart w:id="42" w:name="_Toc493167570"/>
      <w:bookmarkStart w:id="43" w:name="_Toc493321485"/>
      <w:bookmarkStart w:id="44" w:name="_Toc448354684"/>
      <w:bookmarkStart w:id="45" w:name="_Toc426011759"/>
      <w:r>
        <w:rPr>
          <w:rFonts w:hint="eastAsia" w:ascii="仿宋_GB2312" w:hAnsi="仿宋_GB2312" w:eastAsia="仿宋_GB2312" w:cs="仿宋_GB2312"/>
          <w:color w:val="000000" w:themeColor="text1"/>
          <w:sz w:val="32"/>
          <w:szCs w:val="32"/>
          <w:shd w:val="clear" w:color="auto" w:fill="FFFFFF"/>
        </w:rPr>
        <w:t>国内外经济形势严峻复杂，经济下行压力依然很大。中美经贸摩擦持续升级，外贸发展不确定性因素较多。欠发达是安康基本市情，发展中还需破解很多制约瓶颈。区域竞争日益加剧，安康毛绒玩具文创产业只有坚持特色发展，推进产业升级，不断提高产业竞争力，才能实现规模与效益双提升。</w:t>
      </w:r>
    </w:p>
    <w:bookmarkEnd w:id="41"/>
    <w:bookmarkEnd w:id="42"/>
    <w:bookmarkEnd w:id="43"/>
    <w:bookmarkEnd w:id="44"/>
    <w:bookmarkEnd w:id="45"/>
    <w:p>
      <w:pPr>
        <w:pageBreakBefore w:val="0"/>
        <w:widowControl w:val="0"/>
        <w:kinsoku/>
        <w:wordWrap/>
        <w:overflowPunct/>
        <w:topLinePunct w:val="0"/>
        <w:autoSpaceDE/>
        <w:autoSpaceDN/>
        <w:bidi w:val="0"/>
        <w:adjustRightInd/>
        <w:snapToGrid/>
        <w:spacing w:line="560" w:lineRule="exact"/>
        <w:ind w:firstLine="641"/>
        <w:jc w:val="both"/>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color w:val="000000" w:themeColor="text1"/>
          <w:sz w:val="32"/>
          <w:szCs w:val="32"/>
          <w:shd w:val="clear" w:color="auto" w:fill="FFFFFF"/>
        </w:rPr>
        <w:t>总体来看，安康毛绒玩具文创产业发展中面临的机遇是全方位多层次的，面临的挑战是局部的深层次的，机遇与挑战并存，但机遇大于挑战，只有趁势而上、顺势而为，以更加务实的举措，培育新动能，增强新活力，才能赢得发展先机。</w:t>
      </w:r>
    </w:p>
    <w:p>
      <w:pPr>
        <w:pStyle w:val="2"/>
        <w:pageBreakBefore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黑体" w:hAnsi="黑体" w:eastAsia="黑体"/>
          <w:b w:val="0"/>
          <w:bCs w:val="0"/>
          <w:color w:val="000000" w:themeColor="text1"/>
          <w:sz w:val="32"/>
          <w:szCs w:val="32"/>
        </w:rPr>
      </w:pPr>
      <w:bookmarkStart w:id="46" w:name="_Toc7209697"/>
      <w:bookmarkStart w:id="47" w:name="_Toc7270799"/>
      <w:bookmarkStart w:id="48" w:name="_Toc18287627"/>
      <w:bookmarkStart w:id="49" w:name="_Toc9674867"/>
      <w:r>
        <w:rPr>
          <w:rFonts w:hint="eastAsia" w:ascii="黑体" w:hAnsi="黑体" w:eastAsia="黑体"/>
          <w:b w:val="0"/>
          <w:bCs w:val="0"/>
          <w:color w:val="000000" w:themeColor="text1"/>
          <w:sz w:val="32"/>
          <w:szCs w:val="32"/>
        </w:rPr>
        <w:t>三、总体思路</w:t>
      </w:r>
      <w:bookmarkEnd w:id="46"/>
      <w:bookmarkEnd w:id="47"/>
      <w:bookmarkEnd w:id="48"/>
      <w:bookmarkEnd w:id="49"/>
    </w:p>
    <w:p>
      <w:pPr>
        <w:pStyle w:val="3"/>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楷体_GB2312" w:hAnsi="楷体_GB2312" w:eastAsia="楷体_GB2312" w:cs="楷体_GB2312"/>
          <w:b/>
          <w:bCs w:val="0"/>
          <w:color w:val="000000" w:themeColor="text1"/>
        </w:rPr>
      </w:pPr>
      <w:bookmarkStart w:id="50" w:name="_Toc9674868"/>
      <w:bookmarkStart w:id="51" w:name="_Toc7209698"/>
      <w:bookmarkStart w:id="52" w:name="_Toc7270800"/>
      <w:bookmarkStart w:id="53" w:name="_Toc18287628"/>
      <w:r>
        <w:rPr>
          <w:rFonts w:hint="eastAsia" w:ascii="楷体_GB2312" w:hAnsi="楷体_GB2312" w:eastAsia="楷体_GB2312" w:cs="楷体_GB2312"/>
          <w:b/>
          <w:bCs w:val="0"/>
          <w:color w:val="000000" w:themeColor="text1"/>
        </w:rPr>
        <w:t>（一）指导思想</w:t>
      </w:r>
      <w:bookmarkEnd w:id="50"/>
      <w:bookmarkEnd w:id="51"/>
      <w:bookmarkEnd w:id="52"/>
      <w:bookmarkEnd w:id="53"/>
    </w:p>
    <w:p>
      <w:pPr>
        <w:pageBreakBefore w:val="0"/>
        <w:widowControl w:val="0"/>
        <w:kinsoku/>
        <w:wordWrap/>
        <w:overflowPunct/>
        <w:topLinePunct w:val="0"/>
        <w:autoSpaceDE/>
        <w:autoSpaceDN/>
        <w:bidi w:val="0"/>
        <w:adjustRightInd/>
        <w:snapToGrid/>
        <w:spacing w:line="560" w:lineRule="exact"/>
        <w:ind w:firstLine="641"/>
        <w:jc w:val="both"/>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color w:val="000000" w:themeColor="text1"/>
          <w:sz w:val="32"/>
          <w:szCs w:val="32"/>
          <w:shd w:val="clear" w:color="auto" w:fill="FFFFFF"/>
        </w:rPr>
        <w:t>以习近平新时代中国特色社会主义思想为指引，坚持以人民为中心的思想贯彻落实好新发展理念，统筹脱贫攻坚、乡村振兴两大战略，抓住东部产业转移和苏陕协作契机，科学规划布局，创新政策支持，完善体制机制，激发发展活力，促进毛绒玩具文创产业总量增加、领域拓宽、功能增强、水平提高，努力构建竞争力强、特色鲜明、效应明显、布局合理的产业体系，打造西部第一、国内领先、国际知名的“中国毛绒玩具文创产业新都”。</w:t>
      </w:r>
    </w:p>
    <w:p>
      <w:pPr>
        <w:pStyle w:val="3"/>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楷体_GB2312" w:hAnsi="楷体_GB2312" w:eastAsia="楷体_GB2312" w:cs="楷体_GB2312"/>
          <w:b/>
          <w:bCs w:val="0"/>
          <w:color w:val="000000" w:themeColor="text1"/>
        </w:rPr>
      </w:pPr>
      <w:bookmarkStart w:id="54" w:name="_Toc9674869"/>
      <w:bookmarkStart w:id="55" w:name="_Toc7209699"/>
      <w:bookmarkStart w:id="56" w:name="_Toc7270801"/>
      <w:bookmarkStart w:id="57" w:name="_Toc18287629"/>
      <w:r>
        <w:rPr>
          <w:rFonts w:hint="eastAsia" w:ascii="楷体_GB2312" w:hAnsi="楷体_GB2312" w:eastAsia="楷体_GB2312" w:cs="楷体_GB2312"/>
          <w:b/>
          <w:bCs w:val="0"/>
          <w:color w:val="000000" w:themeColor="text1"/>
        </w:rPr>
        <w:t>（二）</w:t>
      </w:r>
      <w:bookmarkEnd w:id="54"/>
      <w:bookmarkEnd w:id="55"/>
      <w:bookmarkEnd w:id="56"/>
      <w:bookmarkStart w:id="58" w:name="_Toc7270806"/>
      <w:bookmarkStart w:id="59" w:name="_Toc7209704"/>
      <w:bookmarkStart w:id="60" w:name="_Toc9674870"/>
      <w:r>
        <w:rPr>
          <w:rFonts w:hint="eastAsia" w:ascii="楷体_GB2312" w:hAnsi="楷体_GB2312" w:eastAsia="楷体_GB2312" w:cs="楷体_GB2312"/>
          <w:b/>
          <w:bCs w:val="0"/>
          <w:color w:val="000000" w:themeColor="text1"/>
        </w:rPr>
        <w:t>发展定位</w:t>
      </w:r>
      <w:bookmarkEnd w:id="57"/>
      <w:bookmarkEnd w:id="58"/>
      <w:bookmarkEnd w:id="59"/>
      <w:bookmarkEnd w:id="60"/>
    </w:p>
    <w:p>
      <w:pPr>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b/>
          <w:bCs/>
          <w:color w:val="000000" w:themeColor="text1"/>
          <w:sz w:val="32"/>
          <w:szCs w:val="32"/>
          <w:shd w:val="clear" w:color="auto" w:fill="FFFFFF"/>
        </w:rPr>
        <w:t>——承接国际国内产业转移新高地。</w:t>
      </w:r>
      <w:r>
        <w:rPr>
          <w:rFonts w:hint="eastAsia" w:ascii="仿宋_GB2312" w:hAnsi="仿宋_GB2312" w:eastAsia="仿宋_GB2312" w:cs="仿宋_GB2312"/>
          <w:color w:val="000000" w:themeColor="text1"/>
          <w:sz w:val="32"/>
          <w:szCs w:val="32"/>
          <w:shd w:val="clear" w:color="auto" w:fill="FFFFFF"/>
        </w:rPr>
        <w:t>以大开放的视野，高水平建设承接产业转移平台，广泛吸纳资本、技术、人才、品牌等要素，按照错位发展、优势互补的原则，围绕拓展和延伸毛绒玩具文创产业链，承接上下游产品配套生产和服务。探索产业承接与自主创新统筹发展新思路，推进承接企业创新提升，增强自主发展能力。坚持产业承接标准，节约集约发展</w:t>
      </w:r>
      <w:r>
        <w:rPr>
          <w:rFonts w:hint="eastAsia" w:ascii="仿宋_GB2312" w:hAnsi="仿宋_GB2312" w:eastAsia="仿宋_GB2312" w:cs="仿宋_GB2312"/>
          <w:color w:val="000000" w:themeColor="text1"/>
          <w:sz w:val="32"/>
          <w:szCs w:val="32"/>
          <w:shd w:val="clear" w:color="auto" w:fill="FFFFFF"/>
          <w:lang w:eastAsia="zh-CN"/>
        </w:rPr>
        <w:t>，打造</w:t>
      </w:r>
      <w:r>
        <w:rPr>
          <w:rFonts w:hint="eastAsia" w:ascii="仿宋_GB2312" w:hAnsi="仿宋_GB2312" w:eastAsia="仿宋_GB2312" w:cs="仿宋_GB2312"/>
          <w:color w:val="000000" w:themeColor="text1"/>
          <w:sz w:val="32"/>
          <w:szCs w:val="32"/>
          <w:shd w:val="clear" w:color="auto" w:fill="FFFFFF"/>
        </w:rPr>
        <w:t>承接国际国内产业转移的新高地。</w:t>
      </w:r>
    </w:p>
    <w:p>
      <w:pPr>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b/>
          <w:bCs/>
          <w:color w:val="000000" w:themeColor="text1"/>
          <w:sz w:val="32"/>
          <w:szCs w:val="32"/>
          <w:shd w:val="clear" w:color="auto" w:fill="FFFFFF"/>
        </w:rPr>
        <w:t>——中国毛绒玩具文创产业新都。</w:t>
      </w:r>
      <w:r>
        <w:rPr>
          <w:rFonts w:hint="eastAsia" w:ascii="仿宋_GB2312" w:hAnsi="仿宋_GB2312" w:eastAsia="仿宋_GB2312" w:cs="仿宋_GB2312"/>
          <w:color w:val="000000" w:themeColor="text1"/>
          <w:sz w:val="32"/>
          <w:szCs w:val="32"/>
          <w:shd w:val="clear" w:color="auto" w:fill="FFFFFF"/>
        </w:rPr>
        <w:t>加强国际国内合作，提高对外开放水平，发展原材料供应、半成品配套、加工制造、全渠道销售、物流配送、科技研发、中介会展、创意设计等产业链环节，重点建设毛绒玩具原辅料批发、产品交易、物流、创意设计、电商运营等“五大中心”。优化支撑环境和服务体系，积极创新产业发展新模式，培育出国际知名的安康IP形象，建成若干个毛绒玩具特色小镇。</w:t>
      </w:r>
      <w:r>
        <w:rPr>
          <w:rFonts w:hint="eastAsia" w:ascii="仿宋_GB2312" w:hAnsi="仿宋_GB2312" w:eastAsia="仿宋_GB2312" w:cs="仿宋_GB2312"/>
          <w:color w:val="000000" w:themeColor="text1"/>
          <w:sz w:val="32"/>
          <w:szCs w:val="32"/>
          <w:shd w:val="clear" w:color="auto" w:fill="FFFFFF"/>
          <w:lang w:eastAsia="zh-CN"/>
        </w:rPr>
        <w:t>建设</w:t>
      </w:r>
      <w:r>
        <w:rPr>
          <w:rFonts w:hint="eastAsia" w:ascii="仿宋_GB2312" w:hAnsi="仿宋_GB2312" w:eastAsia="仿宋_GB2312" w:cs="仿宋_GB2312"/>
          <w:color w:val="000000" w:themeColor="text1"/>
          <w:sz w:val="32"/>
          <w:szCs w:val="32"/>
          <w:shd w:val="clear" w:color="auto" w:fill="FFFFFF"/>
        </w:rPr>
        <w:t>西北第一、国内领先、国际知名的“中国毛绒玩具文创产业新都”。</w:t>
      </w:r>
    </w:p>
    <w:p>
      <w:pPr>
        <w:pStyle w:val="3"/>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楷体_GB2312" w:hAnsi="楷体_GB2312" w:eastAsia="楷体_GB2312" w:cs="楷体_GB2312"/>
          <w:b/>
          <w:bCs w:val="0"/>
          <w:color w:val="000000" w:themeColor="text1"/>
        </w:rPr>
      </w:pPr>
      <w:bookmarkStart w:id="61" w:name="_Toc7270807"/>
      <w:bookmarkStart w:id="62" w:name="_Toc7209705"/>
      <w:bookmarkStart w:id="63" w:name="_Toc18287630"/>
      <w:bookmarkStart w:id="64" w:name="_Toc9674871"/>
      <w:r>
        <w:rPr>
          <w:rFonts w:hint="eastAsia" w:ascii="楷体_GB2312" w:hAnsi="楷体_GB2312" w:eastAsia="楷体_GB2312" w:cs="楷体_GB2312"/>
          <w:b/>
          <w:bCs w:val="0"/>
          <w:color w:val="000000" w:themeColor="text1"/>
        </w:rPr>
        <w:t>（三）发展模式</w:t>
      </w:r>
      <w:bookmarkEnd w:id="61"/>
      <w:bookmarkEnd w:id="62"/>
      <w:bookmarkEnd w:id="63"/>
      <w:bookmarkEnd w:id="64"/>
    </w:p>
    <w:p>
      <w:pPr>
        <w:pageBreakBefore w:val="0"/>
        <w:widowControl w:val="0"/>
        <w:kinsoku/>
        <w:wordWrap/>
        <w:overflowPunct/>
        <w:topLinePunct w:val="0"/>
        <w:autoSpaceDE/>
        <w:autoSpaceDN/>
        <w:bidi w:val="0"/>
        <w:adjustRightInd/>
        <w:snapToGrid/>
        <w:spacing w:line="560" w:lineRule="exact"/>
        <w:ind w:firstLine="641"/>
        <w:jc w:val="both"/>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color w:val="000000" w:themeColor="text1"/>
          <w:sz w:val="32"/>
          <w:szCs w:val="32"/>
          <w:shd w:val="clear" w:color="auto" w:fill="FFFFFF"/>
        </w:rPr>
        <w:t>抢抓东南沿海地区劳动密集型产业向中西部转移和生态友好型产业发展的机遇，按照政府引导、市场引领、就业优先、厂社结合、协同推进工作思路。针对毛绒玩具文创产业的特点，按照“市域统筹、县区主战、社区承载、协同联动”的发展思路，确定了“园区总部+新社区工厂+家庭工坊”的发展模式，开创安康特色的毛绒玩具文创产业发展之路。</w:t>
      </w:r>
    </w:p>
    <w:p>
      <w:pPr>
        <w:pageBreakBefore w:val="0"/>
        <w:widowControl w:val="0"/>
        <w:kinsoku/>
        <w:wordWrap/>
        <w:overflowPunct/>
        <w:topLinePunct w:val="0"/>
        <w:autoSpaceDE/>
        <w:autoSpaceDN/>
        <w:bidi w:val="0"/>
        <w:adjustRightInd/>
        <w:snapToGrid/>
        <w:spacing w:line="560" w:lineRule="exact"/>
        <w:ind w:firstLine="641"/>
        <w:jc w:val="both"/>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b/>
          <w:bCs/>
          <w:color w:val="000000" w:themeColor="text1"/>
          <w:sz w:val="32"/>
          <w:szCs w:val="32"/>
          <w:shd w:val="clear" w:color="auto" w:fill="FFFFFF"/>
        </w:rPr>
        <w:t>——园区总部。</w:t>
      </w:r>
      <w:r>
        <w:rPr>
          <w:rFonts w:hint="eastAsia" w:ascii="仿宋_GB2312" w:hAnsi="仿宋_GB2312" w:eastAsia="仿宋_GB2312" w:cs="仿宋_GB2312"/>
          <w:color w:val="000000" w:themeColor="text1"/>
          <w:sz w:val="32"/>
          <w:szCs w:val="32"/>
          <w:shd w:val="clear" w:color="auto" w:fill="FFFFFF"/>
        </w:rPr>
        <w:t>按照“以产兴城、以城促产、产城融合”的要求，依托特有的优势资源吸引毛绒玩具文创企业总部集群布局，形成总部集聚效应。引进和培育毛绒玩具文创产业龙头企业，在产业园区建设区域行政总部、生产总部、研发总部、营销总部、创意设计总部。推进县域资源共享和优势互补，提高资源配置效率和产业竞争力，实现县县有总部龙头，龙头企业带动产业集群和新社区工厂发展。引导毛绒玩具文创产业不断转型升级，推动毛绒玩具文创产业与文化旅游产业融合发展，重点建设一批专业市场和毛绒玩具特色小镇，打响安康“中国毛绒玩具文创产业新都”品牌。</w:t>
      </w:r>
    </w:p>
    <w:p>
      <w:pPr>
        <w:pageBreakBefore w:val="0"/>
        <w:widowControl w:val="0"/>
        <w:kinsoku/>
        <w:wordWrap/>
        <w:overflowPunct/>
        <w:topLinePunct w:val="0"/>
        <w:autoSpaceDE/>
        <w:autoSpaceDN/>
        <w:bidi w:val="0"/>
        <w:adjustRightInd/>
        <w:snapToGrid/>
        <w:spacing w:line="560" w:lineRule="exact"/>
        <w:ind w:firstLine="641"/>
        <w:jc w:val="both"/>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b/>
          <w:bCs/>
          <w:color w:val="000000" w:themeColor="text1"/>
          <w:sz w:val="32"/>
          <w:szCs w:val="32"/>
          <w:shd w:val="clear" w:color="auto" w:fill="FFFFFF"/>
        </w:rPr>
        <w:t>——新社区工厂。</w:t>
      </w:r>
      <w:r>
        <w:rPr>
          <w:rFonts w:hint="eastAsia" w:ascii="仿宋_GB2312" w:hAnsi="仿宋_GB2312" w:eastAsia="仿宋_GB2312" w:cs="仿宋_GB2312"/>
          <w:color w:val="000000" w:themeColor="text1"/>
          <w:sz w:val="32"/>
          <w:szCs w:val="32"/>
          <w:shd w:val="clear" w:color="auto" w:fill="FFFFFF"/>
        </w:rPr>
        <w:t>以产业孵化、繁荣经济、解决就业、稳定社会为目标，按照全市新社区工厂总体发展规划，全面加快建设步伐。充分利用社区周边空闲场地、闲置厂房建设独立标准化社区工厂厂房，加快以毛绒玩具产业为重点的新社区工厂建设。实现新社区工厂全覆盖。推进新社区公共服务配套设施建设，打通发展“动脉”， 通过集约化、规范化，打造“筑巢引凤”优质平台。</w:t>
      </w:r>
    </w:p>
    <w:p>
      <w:pPr>
        <w:pageBreakBefore w:val="0"/>
        <w:widowControl w:val="0"/>
        <w:kinsoku/>
        <w:wordWrap/>
        <w:overflowPunct/>
        <w:topLinePunct w:val="0"/>
        <w:autoSpaceDE/>
        <w:autoSpaceDN/>
        <w:bidi w:val="0"/>
        <w:adjustRightInd/>
        <w:snapToGrid/>
        <w:spacing w:line="560" w:lineRule="exact"/>
        <w:ind w:firstLine="641"/>
        <w:jc w:val="both"/>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b/>
          <w:bCs/>
          <w:color w:val="000000" w:themeColor="text1"/>
          <w:sz w:val="32"/>
          <w:szCs w:val="32"/>
          <w:shd w:val="clear" w:color="auto" w:fill="FFFFFF"/>
        </w:rPr>
        <w:t>——家庭工坊。</w:t>
      </w:r>
      <w:r>
        <w:rPr>
          <w:rFonts w:hint="eastAsia" w:ascii="仿宋_GB2312" w:hAnsi="仿宋_GB2312" w:eastAsia="仿宋_GB2312" w:cs="仿宋_GB2312"/>
          <w:color w:val="000000" w:themeColor="text1"/>
          <w:sz w:val="32"/>
          <w:szCs w:val="32"/>
          <w:shd w:val="clear" w:color="auto" w:fill="FFFFFF"/>
        </w:rPr>
        <w:t>结合毛绒玩具加工特点，经过培育典型和实施传帮带相结合，解决村民及留守妇女实现就近就业，引导企业因地制宜，灵活采用家庭工坊的毛绒玩具生产加工方式，开创以毛绒玩具文创产业带动村民就业致富的新模式，实现社会效益与经济效益的双赢。</w:t>
      </w:r>
    </w:p>
    <w:tbl>
      <w:tblPr>
        <w:tblStyle w:val="1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shd w:val="clear" w:color="auto" w:fill="D8D8D8" w:themeFill="background1" w:themeFillShade="D9"/>
          </w:tcPr>
          <w:p>
            <w:pPr>
              <w:adjustRightInd w:val="0"/>
              <w:spacing w:before="156" w:beforeLines="50" w:after="156" w:afterLines="50"/>
              <w:jc w:val="center"/>
              <w:rPr>
                <w:rFonts w:ascii="仿宋" w:hAnsi="仿宋" w:eastAsia="仿宋" w:cs="宋体"/>
                <w:bCs/>
                <w:color w:val="000000" w:themeColor="text1"/>
                <w:sz w:val="24"/>
                <w:szCs w:val="24"/>
              </w:rPr>
            </w:pPr>
            <w:r>
              <w:rPr>
                <w:rFonts w:hint="eastAsia" w:ascii="仿宋" w:hAnsi="仿宋" w:eastAsia="仿宋" w:cs="Times New Roman"/>
                <w:b/>
                <w:color w:val="000000" w:themeColor="text1"/>
                <w:sz w:val="24"/>
                <w:szCs w:val="24"/>
                <w:lang w:val="zh-TW"/>
              </w:rPr>
              <w:t>专栏-1  国内知名毛绒玩具文创产业发展模式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adjustRightInd w:val="0"/>
              <w:spacing w:line="440" w:lineRule="exact"/>
              <w:ind w:firstLine="482" w:firstLineChars="200"/>
              <w:rPr>
                <w:rFonts w:ascii="仿宋" w:hAnsi="仿宋" w:eastAsia="仿宋" w:cs="宋体"/>
                <w:bCs/>
                <w:color w:val="000000" w:themeColor="text1"/>
                <w:sz w:val="24"/>
              </w:rPr>
            </w:pPr>
            <w:r>
              <w:rPr>
                <w:rFonts w:hint="eastAsia" w:ascii="仿宋" w:hAnsi="仿宋" w:eastAsia="仿宋" w:cs="宋体"/>
                <w:b/>
                <w:bCs/>
                <w:color w:val="000000" w:themeColor="text1"/>
                <w:sz w:val="24"/>
              </w:rPr>
              <w:t>扬州模式：</w:t>
            </w:r>
            <w:r>
              <w:rPr>
                <w:rFonts w:hint="eastAsia" w:ascii="仿宋_GB2312" w:hAnsi="仿宋_GB2312" w:eastAsia="仿宋_GB2312" w:cs="仿宋_GB2312"/>
                <w:bCs/>
                <w:color w:val="000000" w:themeColor="text1"/>
                <w:sz w:val="24"/>
              </w:rPr>
              <w:t>以家庭作坊生产起步，初期主要是以毛绒等为材料，采用来料加工的形式，通过手动、半自动充棉机，生产一次定型的静态玩具。随着激光机、平缝机的大量引进，玩具的产量和质量有了较大的提高。产业集聚相配套的公共服务平台比较完善，获得“中国毛绒玩具礼品之都”荣誉。</w:t>
            </w:r>
          </w:p>
          <w:p>
            <w:pPr>
              <w:adjustRightInd w:val="0"/>
              <w:spacing w:line="440" w:lineRule="exact"/>
              <w:ind w:firstLine="482" w:firstLineChars="200"/>
              <w:rPr>
                <w:rFonts w:hint="eastAsia" w:ascii="仿宋_GB2312" w:hAnsi="仿宋_GB2312" w:eastAsia="仿宋_GB2312" w:cs="仿宋_GB2312"/>
                <w:bCs/>
                <w:color w:val="000000" w:themeColor="text1"/>
                <w:sz w:val="24"/>
              </w:rPr>
            </w:pPr>
            <w:r>
              <w:rPr>
                <w:rFonts w:hint="eastAsia" w:ascii="仿宋" w:hAnsi="仿宋" w:eastAsia="仿宋" w:cs="宋体"/>
                <w:b/>
                <w:bCs/>
                <w:color w:val="000000" w:themeColor="text1"/>
                <w:sz w:val="24"/>
              </w:rPr>
              <w:t>广东模式：</w:t>
            </w:r>
            <w:r>
              <w:rPr>
                <w:rFonts w:hint="eastAsia" w:ascii="仿宋_GB2312" w:hAnsi="仿宋_GB2312" w:eastAsia="仿宋_GB2312" w:cs="仿宋_GB2312"/>
                <w:bCs/>
                <w:color w:val="000000" w:themeColor="text1"/>
                <w:sz w:val="24"/>
              </w:rPr>
              <w:t>较早承接境外毛绒玩具产业转移，产业起点高，创新设计有特色。依托珠三角区位优势，集聚大批动漫、设计人才，毛绒玩具设计风格特色鲜明，是高档毛绒玩具产地。</w:t>
            </w:r>
          </w:p>
          <w:p>
            <w:pPr>
              <w:adjustRightInd w:val="0"/>
              <w:spacing w:line="440" w:lineRule="exact"/>
              <w:ind w:firstLine="482" w:firstLineChars="200"/>
              <w:rPr>
                <w:rFonts w:hint="eastAsia" w:ascii="仿宋_GB2312" w:hAnsi="仿宋_GB2312" w:eastAsia="仿宋_GB2312" w:cs="仿宋_GB2312"/>
                <w:bCs/>
                <w:color w:val="000000" w:themeColor="text1"/>
                <w:sz w:val="24"/>
              </w:rPr>
            </w:pPr>
            <w:r>
              <w:rPr>
                <w:rFonts w:hint="eastAsia" w:ascii="仿宋" w:hAnsi="仿宋" w:eastAsia="仿宋" w:cs="宋体"/>
                <w:b/>
                <w:bCs/>
                <w:color w:val="000000" w:themeColor="text1"/>
                <w:sz w:val="24"/>
              </w:rPr>
              <w:t>雄安模式：</w:t>
            </w:r>
            <w:r>
              <w:rPr>
                <w:rFonts w:hint="eastAsia" w:ascii="仿宋_GB2312" w:hAnsi="仿宋_GB2312" w:eastAsia="仿宋_GB2312" w:cs="仿宋_GB2312"/>
                <w:bCs/>
                <w:color w:val="000000" w:themeColor="text1"/>
                <w:sz w:val="24"/>
              </w:rPr>
              <w:t>物流非常便利，依靠低成本劳动力优势，承接了其他地区毛绒玩具产业转移。主要是以家庭作坊为单位的生产经营方式，大多进行代工贴牌生产或生产中低端产品，是国内外知名代工基地。</w:t>
            </w:r>
          </w:p>
          <w:p>
            <w:pPr>
              <w:adjustRightInd w:val="0"/>
              <w:spacing w:line="440" w:lineRule="exact"/>
              <w:ind w:firstLine="482" w:firstLineChars="200"/>
              <w:rPr>
                <w:rFonts w:ascii="仿宋" w:hAnsi="仿宋" w:eastAsia="仿宋" w:cs="宋体"/>
                <w:bCs/>
                <w:color w:val="000000" w:themeColor="text1"/>
                <w:sz w:val="24"/>
              </w:rPr>
            </w:pPr>
            <w:r>
              <w:rPr>
                <w:rFonts w:hint="eastAsia" w:ascii="仿宋" w:hAnsi="仿宋" w:eastAsia="仿宋" w:cs="宋体"/>
                <w:b/>
                <w:bCs/>
                <w:color w:val="000000" w:themeColor="text1"/>
                <w:sz w:val="24"/>
              </w:rPr>
              <w:t>安康模式：</w:t>
            </w:r>
            <w:r>
              <w:rPr>
                <w:rFonts w:hint="eastAsia" w:ascii="仿宋_GB2312" w:hAnsi="仿宋_GB2312" w:eastAsia="仿宋_GB2312" w:cs="仿宋_GB2312"/>
                <w:bCs/>
                <w:color w:val="000000" w:themeColor="text1"/>
                <w:sz w:val="24"/>
              </w:rPr>
              <w:t>全市统一产业定位，统一工作要求，统一优惠政策，统一解决制约产业落户的共性问题。县区作为承接主体，承担客户接待、谈判签约、厂房装修、员工招聘、配套服务等工作。明确企业总部在园区，加工在社区，实行企业跟着订单走，机器跟着劳力去。</w:t>
            </w:r>
          </w:p>
        </w:tc>
      </w:tr>
      <w:bookmarkEnd w:id="4"/>
      <w:bookmarkEnd w:id="5"/>
      <w:bookmarkEnd w:id="6"/>
      <w:bookmarkEnd w:id="7"/>
    </w:tbl>
    <w:p>
      <w:pPr>
        <w:pStyle w:val="3"/>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楷体_GB2312" w:hAnsi="楷体_GB2312" w:eastAsia="楷体_GB2312" w:cs="楷体_GB2312"/>
          <w:b/>
          <w:bCs w:val="0"/>
          <w:color w:val="000000" w:themeColor="text1"/>
        </w:rPr>
      </w:pPr>
      <w:bookmarkStart w:id="65" w:name="_Toc18287631"/>
      <w:r>
        <w:rPr>
          <w:rFonts w:hint="eastAsia" w:ascii="楷体_GB2312" w:hAnsi="楷体_GB2312" w:eastAsia="楷体_GB2312" w:cs="楷体_GB2312"/>
          <w:b/>
          <w:bCs w:val="0"/>
          <w:color w:val="000000" w:themeColor="text1"/>
        </w:rPr>
        <w:t>（四）发展目标</w:t>
      </w:r>
      <w:bookmarkEnd w:id="65"/>
    </w:p>
    <w:p>
      <w:pPr>
        <w:pageBreakBefore w:val="0"/>
        <w:widowControl w:val="0"/>
        <w:kinsoku/>
        <w:wordWrap/>
        <w:overflowPunct/>
        <w:topLinePunct w:val="0"/>
        <w:bidi w:val="0"/>
        <w:snapToGrid/>
        <w:spacing w:line="560" w:lineRule="exact"/>
        <w:ind w:firstLine="643" w:firstLineChars="200"/>
        <w:jc w:val="both"/>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b/>
          <w:bCs/>
          <w:color w:val="000000" w:themeColor="text1"/>
          <w:sz w:val="32"/>
          <w:szCs w:val="32"/>
          <w:shd w:val="clear" w:color="auto" w:fill="FFFFFF"/>
        </w:rPr>
        <w:t>——总体目标：</w:t>
      </w:r>
      <w:r>
        <w:rPr>
          <w:rFonts w:hint="eastAsia" w:ascii="仿宋_GB2312" w:hAnsi="仿宋_GB2312" w:eastAsia="仿宋_GB2312" w:cs="仿宋_GB2312"/>
          <w:color w:val="000000" w:themeColor="text1"/>
          <w:sz w:val="32"/>
          <w:szCs w:val="32"/>
          <w:shd w:val="clear" w:color="auto" w:fill="FFFFFF"/>
        </w:rPr>
        <w:t>到2025年，培育一批具有国内外影响力的创新型领军企业，推进毛绒玩具文创产业成为安康市新兴支柱产业，打造“百亿毛绒玩具文创产业集群”，最终把安康市建成“中国毛绒玩具文创产业新都”。</w:t>
      </w:r>
    </w:p>
    <w:p>
      <w:pPr>
        <w:pageBreakBefore w:val="0"/>
        <w:widowControl w:val="0"/>
        <w:kinsoku/>
        <w:wordWrap/>
        <w:overflowPunct/>
        <w:topLinePunct w:val="0"/>
        <w:bidi w:val="0"/>
        <w:snapToGrid/>
        <w:spacing w:line="560" w:lineRule="exact"/>
        <w:ind w:firstLine="641"/>
        <w:jc w:val="both"/>
        <w:textAlignment w:val="auto"/>
        <w:rPr>
          <w:rFonts w:hint="eastAsia" w:ascii="仿宋_GB2312" w:hAnsi="仿宋_GB2312" w:eastAsia="仿宋_GB2312" w:cs="仿宋_GB2312"/>
          <w:b/>
          <w:bCs/>
          <w:color w:val="000000" w:themeColor="text1"/>
          <w:sz w:val="32"/>
          <w:szCs w:val="32"/>
          <w:shd w:val="clear" w:color="auto" w:fill="FFFFFF"/>
        </w:rPr>
      </w:pPr>
      <w:r>
        <w:rPr>
          <w:rFonts w:hint="eastAsia" w:ascii="仿宋_GB2312" w:hAnsi="仿宋_GB2312" w:eastAsia="仿宋_GB2312" w:cs="仿宋_GB2312"/>
          <w:b/>
          <w:bCs/>
          <w:color w:val="000000" w:themeColor="text1"/>
          <w:sz w:val="32"/>
          <w:szCs w:val="32"/>
          <w:shd w:val="clear" w:color="auto" w:fill="FFFFFF"/>
        </w:rPr>
        <w:t>——起步期目标：初步完成产业布局，打造地域品牌。</w:t>
      </w:r>
    </w:p>
    <w:p>
      <w:pPr>
        <w:pageBreakBefore w:val="0"/>
        <w:widowControl w:val="0"/>
        <w:kinsoku/>
        <w:wordWrap/>
        <w:overflowPunct/>
        <w:topLinePunct w:val="0"/>
        <w:bidi w:val="0"/>
        <w:snapToGrid/>
        <w:spacing w:line="560" w:lineRule="exact"/>
        <w:ind w:firstLine="641"/>
        <w:jc w:val="both"/>
        <w:textAlignment w:val="auto"/>
        <w:rPr>
          <w:rFonts w:ascii="仿宋" w:hAnsi="仿宋" w:eastAsia="仿宋" w:cs="Arial"/>
          <w:color w:val="000000" w:themeColor="text1"/>
          <w:sz w:val="32"/>
          <w:szCs w:val="32"/>
          <w:shd w:val="clear" w:color="auto" w:fill="FFFFFF"/>
        </w:rPr>
      </w:pPr>
      <w:r>
        <w:rPr>
          <w:rFonts w:hint="eastAsia" w:ascii="仿宋_GB2312" w:hAnsi="仿宋_GB2312" w:eastAsia="仿宋_GB2312" w:cs="仿宋_GB2312"/>
          <w:color w:val="000000" w:themeColor="text1"/>
          <w:sz w:val="32"/>
          <w:szCs w:val="32"/>
          <w:shd w:val="clear" w:color="auto" w:fill="FFFFFF"/>
        </w:rPr>
        <w:t>以产业孵化、繁荣经济、解决就业、稳定社会为目标，进一步完善基础设施，打通发展“动脉”，打造“筑巢引凤”优质平台。2019年，全市引进和培育毛绒玩具文创企业80家，规模以上企业10家，建成毛绒玩具新社区工厂200个，实现毛绒玩具综合产值</w:t>
      </w:r>
      <w:r>
        <w:rPr>
          <w:rFonts w:hint="eastAsia" w:ascii="仿宋_GB2312" w:hAnsi="仿宋_GB2312" w:eastAsia="仿宋_GB2312" w:cs="仿宋_GB2312"/>
          <w:color w:val="000000" w:themeColor="text1"/>
          <w:sz w:val="32"/>
          <w:szCs w:val="32"/>
          <w:shd w:val="clear" w:color="auto" w:fill="FFFFFF"/>
          <w:lang w:val="en-US" w:eastAsia="zh-CN"/>
        </w:rPr>
        <w:t>10</w:t>
      </w:r>
      <w:r>
        <w:rPr>
          <w:rFonts w:hint="eastAsia" w:ascii="仿宋_GB2312" w:hAnsi="仿宋_GB2312" w:eastAsia="仿宋_GB2312" w:cs="仿宋_GB2312"/>
          <w:color w:val="000000" w:themeColor="text1"/>
          <w:sz w:val="32"/>
          <w:szCs w:val="32"/>
          <w:shd w:val="clear" w:color="auto" w:fill="FFFFFF"/>
        </w:rPr>
        <w:t>亿元。初步完成产业布局和配套服务，在国内打造安康毛绒玩具地域品牌。</w:t>
      </w:r>
    </w:p>
    <w:p>
      <w:pPr>
        <w:pageBreakBefore w:val="0"/>
        <w:widowControl w:val="0"/>
        <w:kinsoku/>
        <w:wordWrap/>
        <w:overflowPunct/>
        <w:topLinePunct w:val="0"/>
        <w:bidi w:val="0"/>
        <w:snapToGrid/>
        <w:spacing w:line="560" w:lineRule="exact"/>
        <w:ind w:firstLine="643" w:firstLineChars="200"/>
        <w:jc w:val="both"/>
        <w:textAlignment w:val="auto"/>
        <w:rPr>
          <w:rFonts w:ascii="仿宋" w:hAnsi="仿宋" w:eastAsia="仿宋" w:cs="Arial"/>
          <w:b/>
          <w:color w:val="000000" w:themeColor="text1"/>
          <w:sz w:val="32"/>
          <w:szCs w:val="32"/>
          <w:shd w:val="clear" w:color="auto" w:fill="FFFFFF"/>
        </w:rPr>
      </w:pPr>
      <w:r>
        <w:rPr>
          <w:rFonts w:hint="eastAsia" w:ascii="仿宋_GB2312" w:hAnsi="仿宋_GB2312" w:eastAsia="仿宋_GB2312" w:cs="仿宋_GB2312"/>
          <w:b/>
          <w:bCs/>
          <w:color w:val="000000" w:themeColor="text1"/>
          <w:sz w:val="32"/>
          <w:szCs w:val="32"/>
          <w:shd w:val="clear" w:color="auto" w:fill="FFFFFF"/>
        </w:rPr>
        <w:t>——发展期目标：发力文创产业，形成特色IP。</w:t>
      </w:r>
    </w:p>
    <w:p>
      <w:pPr>
        <w:pageBreakBefore w:val="0"/>
        <w:widowControl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color w:val="000000" w:themeColor="text1"/>
          <w:sz w:val="32"/>
          <w:szCs w:val="32"/>
          <w:shd w:val="clear" w:color="auto" w:fill="FFFFFF"/>
        </w:rPr>
        <w:t>以毛绒玩具加工制造为主导，引导龙头企业与中小企业配套协作，加快毛绒玩具文创产业公共服务平台建设，推进毛绒玩具文创产业链条上下游延伸。到2022年，全市引进和培育毛绒玩具文创企业300家，落户企业总部20家，实现全产业链产值50亿元。鼓励引导企业开发新类型玩具。开发国内外知名的安康动漫IP形象，引导文创类成果输出。</w:t>
      </w:r>
    </w:p>
    <w:p>
      <w:pPr>
        <w:pageBreakBefore w:val="0"/>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b/>
          <w:bCs/>
          <w:color w:val="000000" w:themeColor="text1"/>
          <w:sz w:val="32"/>
          <w:szCs w:val="32"/>
          <w:shd w:val="clear" w:color="auto" w:fill="FFFFFF"/>
        </w:rPr>
      </w:pPr>
      <w:r>
        <w:rPr>
          <w:rFonts w:hint="eastAsia" w:ascii="仿宋_GB2312" w:hAnsi="仿宋_GB2312" w:eastAsia="仿宋_GB2312" w:cs="仿宋_GB2312"/>
          <w:b/>
          <w:bCs/>
          <w:color w:val="000000" w:themeColor="text1"/>
          <w:sz w:val="32"/>
          <w:szCs w:val="32"/>
          <w:shd w:val="clear" w:color="auto" w:fill="FFFFFF"/>
        </w:rPr>
        <w:t>——成熟期目标：集群发展，建成产业新都。</w:t>
      </w:r>
    </w:p>
    <w:p>
      <w:pPr>
        <w:pageBreakBefore w:val="0"/>
        <w:widowControl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color w:val="000000" w:themeColor="text1"/>
          <w:sz w:val="32"/>
          <w:szCs w:val="32"/>
          <w:shd w:val="clear" w:color="auto" w:fill="FFFFFF"/>
        </w:rPr>
        <w:t>采用“公共平台+产业协作+产城融合”的模式，招大引强，以链条延伸推动产业集聚，以产业集聚促进集群发展。按照“以产兴城、以城促产、产城融合”的要求，推动毛绒玩具文创产业与文化旅游产业融合发展。到2025年，全市引进和培育毛绒玩具文创企业400家，实现毛绒玩具全产业链产值过100亿，安康建成“毛绒玩具百亿产业集群”和“中国毛绒玩具文创产业新都”。</w:t>
      </w:r>
    </w:p>
    <w:p>
      <w:pPr>
        <w:pStyle w:val="2"/>
        <w:pageBreakBefore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黑体" w:hAnsi="黑体" w:eastAsia="黑体"/>
          <w:b w:val="0"/>
          <w:bCs w:val="0"/>
          <w:color w:val="000000" w:themeColor="text1"/>
          <w:sz w:val="32"/>
          <w:szCs w:val="32"/>
        </w:rPr>
      </w:pPr>
      <w:bookmarkStart w:id="66" w:name="_Toc18287632"/>
      <w:bookmarkStart w:id="67" w:name="_Toc12454020"/>
      <w:bookmarkStart w:id="68" w:name="_Toc7209712"/>
      <w:bookmarkStart w:id="69" w:name="_Toc8658489"/>
      <w:r>
        <w:rPr>
          <w:rFonts w:hint="eastAsia" w:ascii="黑体" w:hAnsi="黑体" w:eastAsia="黑体"/>
          <w:b w:val="0"/>
          <w:bCs w:val="0"/>
          <w:color w:val="000000" w:themeColor="text1"/>
          <w:sz w:val="32"/>
          <w:szCs w:val="32"/>
        </w:rPr>
        <w:t>四、产业布局</w:t>
      </w:r>
      <w:bookmarkEnd w:id="66"/>
      <w:bookmarkEnd w:id="67"/>
      <w:bookmarkEnd w:id="68"/>
      <w:bookmarkEnd w:id="69"/>
    </w:p>
    <w:p>
      <w:pPr>
        <w:pageBreakBefore w:val="0"/>
        <w:widowControl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color w:val="000000" w:themeColor="text1"/>
          <w:sz w:val="32"/>
          <w:szCs w:val="32"/>
          <w:shd w:val="clear" w:color="auto" w:fill="FFFFFF"/>
        </w:rPr>
        <w:t>依托国家“一带一路”倡议和陕西省“十三五”发展规划，抓紧东部地区产业转移机遇，围绕打造“中国毛绒玩具文创产业新都”的战略部署，以突出安康特色为导向，以发展绿色经济为原则，以统筹区县协作为保障，以打造产业集聚为重点，形成“多点、两带、一核”的产业空间发展格局，大力开拓安康市毛绒玩具文创产业。</w:t>
      </w:r>
    </w:p>
    <w:p>
      <w:pPr>
        <w:pStyle w:val="3"/>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楷体_GB2312" w:hAnsi="楷体_GB2312" w:eastAsia="楷体_GB2312" w:cs="楷体_GB2312"/>
          <w:b/>
          <w:bCs w:val="0"/>
          <w:color w:val="000000" w:themeColor="text1"/>
        </w:rPr>
      </w:pPr>
      <w:bookmarkStart w:id="70" w:name="_Toc18287633"/>
      <w:bookmarkStart w:id="71" w:name="_Toc12454021"/>
      <w:r>
        <w:rPr>
          <w:rFonts w:hint="eastAsia" w:ascii="楷体_GB2312" w:hAnsi="楷体_GB2312" w:eastAsia="楷体_GB2312" w:cs="楷体_GB2312"/>
          <w:b/>
          <w:bCs w:val="0"/>
          <w:color w:val="000000" w:themeColor="text1"/>
        </w:rPr>
        <w:t>（一）多点</w:t>
      </w:r>
      <w:bookmarkEnd w:id="70"/>
    </w:p>
    <w:p>
      <w:pPr>
        <w:pageBreakBefore w:val="0"/>
        <w:widowControl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color w:val="000000" w:themeColor="text1"/>
          <w:sz w:val="32"/>
          <w:szCs w:val="32"/>
          <w:shd w:val="clear" w:color="auto" w:fill="FFFFFF"/>
        </w:rPr>
        <w:t>以安康市下辖10个县区为节点，结合当地的所处区位、自然环境、发展战略和人口密度等实际因素，酌情建设毛绒玩具及其面料、辅料加工制造的“家庭工坊”“新社区工厂”“标准化厂房”或者“工业园区”，实现毛绒玩具文创产业在安康市全境之内的多点开花。</w:t>
      </w:r>
    </w:p>
    <w:bookmarkEnd w:id="71"/>
    <w:p>
      <w:pPr>
        <w:pStyle w:val="3"/>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楷体_GB2312" w:hAnsi="楷体_GB2312" w:eastAsia="楷体_GB2312" w:cs="楷体_GB2312"/>
          <w:b/>
          <w:bCs w:val="0"/>
          <w:color w:val="000000" w:themeColor="text1"/>
        </w:rPr>
      </w:pPr>
      <w:bookmarkStart w:id="72" w:name="_Toc12454022"/>
      <w:bookmarkStart w:id="73" w:name="_Toc18287634"/>
      <w:r>
        <w:rPr>
          <w:rFonts w:hint="eastAsia" w:ascii="楷体_GB2312" w:hAnsi="楷体_GB2312" w:eastAsia="楷体_GB2312" w:cs="楷体_GB2312"/>
          <w:b/>
          <w:bCs w:val="0"/>
          <w:color w:val="000000" w:themeColor="text1"/>
        </w:rPr>
        <w:t>（二）两带</w:t>
      </w:r>
      <w:bookmarkEnd w:id="72"/>
      <w:bookmarkEnd w:id="73"/>
    </w:p>
    <w:p>
      <w:pPr>
        <w:pageBreakBefore w:val="0"/>
        <w:widowControl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color w:val="000000" w:themeColor="text1"/>
          <w:sz w:val="32"/>
          <w:szCs w:val="32"/>
          <w:shd w:val="clear" w:color="auto" w:fill="FFFFFF"/>
        </w:rPr>
        <w:t>根据《安康市城市总体规划（2017-2035）》，以恒口示范区为毛绒玩具文创产业发展核心，构建月河川道经济聚集带和沿江经济带，并向周围县区辐射。</w:t>
      </w:r>
    </w:p>
    <w:p>
      <w:pPr>
        <w:pageBreakBefore w:val="0"/>
        <w:widowControl w:val="0"/>
        <w:kinsoku/>
        <w:wordWrap/>
        <w:overflowPunct/>
        <w:topLinePunct w:val="0"/>
        <w:bidi w:val="0"/>
        <w:snapToGrid/>
        <w:spacing w:line="560" w:lineRule="exact"/>
        <w:ind w:firstLine="640"/>
        <w:jc w:val="both"/>
        <w:textAlignment w:val="auto"/>
        <w:rPr>
          <w:rFonts w:hint="eastAsia" w:ascii="仿宋" w:hAnsi="仿宋" w:eastAsia="仿宋" w:cs="Arial"/>
          <w:color w:val="000000" w:themeColor="text1"/>
          <w:sz w:val="32"/>
          <w:szCs w:val="32"/>
          <w:shd w:val="clear" w:color="auto" w:fill="FFFFFF"/>
        </w:rPr>
      </w:pPr>
      <w:r>
        <w:rPr>
          <w:rFonts w:hint="eastAsia" w:ascii="仿宋_GB2312" w:hAnsi="仿宋_GB2312" w:eastAsia="仿宋_GB2312" w:cs="仿宋_GB2312"/>
          <w:b/>
          <w:bCs/>
          <w:color w:val="000000" w:themeColor="text1"/>
          <w:sz w:val="32"/>
          <w:szCs w:val="32"/>
          <w:shd w:val="clear" w:color="auto" w:fill="FFFFFF"/>
        </w:rPr>
        <w:t>——月河川道毛绒玩具文创产业经济聚集带。</w:t>
      </w:r>
      <w:r>
        <w:rPr>
          <w:rFonts w:hint="eastAsia" w:ascii="仿宋_GB2312" w:hAnsi="仿宋_GB2312" w:eastAsia="仿宋_GB2312" w:cs="仿宋_GB2312"/>
          <w:color w:val="000000" w:themeColor="text1"/>
          <w:sz w:val="32"/>
          <w:szCs w:val="32"/>
          <w:shd w:val="clear" w:color="auto" w:fill="FFFFFF"/>
        </w:rPr>
        <w:t>泛指石泉、 汉阴、汉滨区等县区。充分利用包茂高速、十天高速、316国道、西康铁路、汉康铁路和西渝高铁等交通物流优势，在经济聚集带的各个区县布局毛绒玩具及辅料生产企业，建设毛绒玩具产业园区，创新安康市毛绒玩具生产模式。</w:t>
      </w:r>
    </w:p>
    <w:p>
      <w:pPr>
        <w:pageBreakBefore w:val="0"/>
        <w:widowControl w:val="0"/>
        <w:kinsoku/>
        <w:wordWrap/>
        <w:overflowPunct/>
        <w:topLinePunct w:val="0"/>
        <w:bidi w:val="0"/>
        <w:snapToGrid/>
        <w:spacing w:line="560" w:lineRule="exact"/>
        <w:ind w:firstLine="640"/>
        <w:jc w:val="both"/>
        <w:textAlignment w:val="auto"/>
        <w:rPr>
          <w:rFonts w:hint="eastAsia" w:ascii="仿宋" w:hAnsi="仿宋" w:eastAsia="仿宋" w:cs="Arial"/>
          <w:color w:val="000000" w:themeColor="text1"/>
          <w:sz w:val="32"/>
          <w:szCs w:val="32"/>
          <w:shd w:val="clear" w:color="auto" w:fill="FFFFFF"/>
        </w:rPr>
      </w:pPr>
    </w:p>
    <w:p>
      <w:pPr>
        <w:pageBreakBefore w:val="0"/>
        <w:widowControl w:val="0"/>
        <w:kinsoku/>
        <w:wordWrap/>
        <w:overflowPunct/>
        <w:topLinePunct w:val="0"/>
        <w:bidi w:val="0"/>
        <w:snapToGrid/>
        <w:spacing w:line="560" w:lineRule="exact"/>
        <w:ind w:firstLine="640"/>
        <w:jc w:val="both"/>
        <w:textAlignment w:val="auto"/>
        <w:rPr>
          <w:rFonts w:hint="eastAsia" w:ascii="仿宋" w:hAnsi="仿宋" w:eastAsia="仿宋" w:cs="Arial"/>
          <w:color w:val="000000" w:themeColor="text1"/>
          <w:sz w:val="32"/>
          <w:szCs w:val="32"/>
          <w:shd w:val="clear" w:color="auto" w:fill="FFFFFF"/>
        </w:rPr>
      </w:pPr>
    </w:p>
    <w:tbl>
      <w:tblPr>
        <w:tblStyle w:val="1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shd w:val="clear" w:color="auto" w:fill="D8D8D8" w:themeFill="background1" w:themeFillShade="D9"/>
          </w:tcPr>
          <w:p>
            <w:pPr>
              <w:adjustRightInd w:val="0"/>
              <w:spacing w:before="156" w:beforeLines="50" w:after="156" w:afterLines="50"/>
              <w:jc w:val="center"/>
              <w:rPr>
                <w:rFonts w:ascii="仿宋" w:hAnsi="仿宋" w:eastAsia="仿宋" w:cs="宋体"/>
                <w:bCs/>
                <w:color w:val="000000" w:themeColor="text1"/>
                <w:sz w:val="24"/>
                <w:szCs w:val="24"/>
              </w:rPr>
            </w:pPr>
            <w:r>
              <w:rPr>
                <w:rFonts w:hint="eastAsia" w:ascii="仿宋" w:hAnsi="仿宋" w:eastAsia="仿宋" w:cs="Times New Roman"/>
                <w:b/>
                <w:color w:val="000000" w:themeColor="text1"/>
                <w:sz w:val="24"/>
                <w:szCs w:val="24"/>
                <w:lang w:val="zh-TW"/>
              </w:rPr>
              <w:t>专栏-2</w:t>
            </w:r>
            <w:r>
              <w:rPr>
                <w:rFonts w:ascii="仿宋" w:hAnsi="仿宋" w:eastAsia="仿宋" w:cs="Times New Roman"/>
                <w:b/>
                <w:color w:val="000000" w:themeColor="text1"/>
                <w:sz w:val="24"/>
                <w:szCs w:val="24"/>
                <w:lang w:val="zh-TW"/>
              </w:rPr>
              <w:t xml:space="preserve"> </w:t>
            </w:r>
            <w:r>
              <w:rPr>
                <w:rFonts w:hint="eastAsia" w:ascii="仿宋" w:hAnsi="仿宋" w:eastAsia="仿宋" w:cs="Times New Roman"/>
                <w:b/>
                <w:color w:val="000000" w:themeColor="text1"/>
                <w:sz w:val="24"/>
                <w:szCs w:val="24"/>
                <w:lang w:val="zh-TW"/>
              </w:rPr>
              <w:t>安康毛绒玩具文创产业空间布局示意图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Pr>
          <w:p>
            <w:pPr>
              <w:adjustRightInd w:val="0"/>
              <w:jc w:val="center"/>
              <w:rPr>
                <w:rFonts w:ascii="仿宋" w:hAnsi="仿宋" w:eastAsia="仿宋" w:cs="宋体"/>
                <w:bCs/>
                <w:color w:val="000000" w:themeColor="text1"/>
                <w:sz w:val="24"/>
              </w:rPr>
            </w:pPr>
            <w:r>
              <w:rPr>
                <w:rFonts w:ascii="仿宋" w:hAnsi="仿宋" w:eastAsia="仿宋" w:cs="宋体"/>
                <w:bCs/>
                <w:color w:val="000000" w:themeColor="text1"/>
                <w:sz w:val="24"/>
              </w:rPr>
              <w:drawing>
                <wp:inline distT="0" distB="0" distL="0" distR="0">
                  <wp:extent cx="5067300" cy="5323840"/>
                  <wp:effectExtent l="19050" t="0" r="0" b="0"/>
                  <wp:docPr id="4" name="图片 2" descr="C:\Users\许华\AppData\Local\Temp\WeChat Files\98e01376a9976ef01eb0c23f9d990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C:\Users\许华\AppData\Local\Temp\WeChat Files\98e01376a9976ef01eb0c23f9d990e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067300" cy="5323840"/>
                          </a:xfrm>
                          <a:prstGeom prst="rect">
                            <a:avLst/>
                          </a:prstGeom>
                          <a:noFill/>
                          <a:ln>
                            <a:noFill/>
                          </a:ln>
                        </pic:spPr>
                      </pic:pic>
                    </a:graphicData>
                  </a:graphic>
                </wp:inline>
              </w:drawing>
            </w:r>
          </w:p>
        </w:tc>
      </w:tr>
    </w:tbl>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b/>
          <w:bCs/>
          <w:color w:val="000000" w:themeColor="text1"/>
          <w:sz w:val="32"/>
          <w:szCs w:val="32"/>
          <w:shd w:val="clear" w:color="auto" w:fill="FFFFFF"/>
        </w:rPr>
        <w:t>——沿江毛绒玩具文创产业经济带。</w:t>
      </w:r>
      <w:r>
        <w:rPr>
          <w:rFonts w:hint="eastAsia" w:ascii="仿宋_GB2312" w:hAnsi="仿宋_GB2312" w:eastAsia="仿宋_GB2312" w:cs="仿宋_GB2312"/>
          <w:color w:val="000000" w:themeColor="text1"/>
          <w:sz w:val="32"/>
          <w:szCs w:val="32"/>
          <w:shd w:val="clear" w:color="auto" w:fill="FFFFFF"/>
        </w:rPr>
        <w:t>借助沿江交通优势，根据《汉江生态经济带发展规划》指导思想，整合石泉、汉阴、紫阳、汉滨区、旬阳、白河等县区优势资源，加快产业结构优化升级，将毛绒玩具文创产业与旅游产业结合，着力发展毛绒玩具文创产业，积极培育现代物流业。引导毛绒玩具生产企业因地制宜，采用最经济的物流方式运输产品和原辅料。</w:t>
      </w:r>
    </w:p>
    <w:p>
      <w:pPr>
        <w:pStyle w:val="3"/>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楷体_GB2312" w:hAnsi="楷体_GB2312" w:eastAsia="楷体_GB2312" w:cs="楷体_GB2312"/>
          <w:b/>
          <w:bCs w:val="0"/>
          <w:color w:val="000000" w:themeColor="text1"/>
        </w:rPr>
      </w:pPr>
      <w:bookmarkStart w:id="74" w:name="_Toc18287635"/>
      <w:r>
        <w:rPr>
          <w:rFonts w:hint="eastAsia" w:ascii="楷体_GB2312" w:hAnsi="楷体_GB2312" w:eastAsia="楷体_GB2312" w:cs="楷体_GB2312"/>
          <w:b/>
          <w:bCs w:val="0"/>
          <w:color w:val="000000" w:themeColor="text1"/>
        </w:rPr>
        <w:t>（三）一核</w:t>
      </w:r>
      <w:bookmarkEnd w:id="74"/>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b/>
          <w:bCs/>
          <w:color w:val="000000" w:themeColor="text1"/>
          <w:sz w:val="32"/>
          <w:szCs w:val="32"/>
          <w:shd w:val="clear" w:color="auto" w:fill="FFFFFF"/>
        </w:rPr>
        <w:t>——“一核”</w:t>
      </w:r>
      <w:r>
        <w:rPr>
          <w:rFonts w:hint="eastAsia" w:ascii="仿宋_GB2312" w:hAnsi="仿宋_GB2312" w:eastAsia="仿宋_GB2312" w:cs="仿宋_GB2312"/>
          <w:color w:val="000000" w:themeColor="text1"/>
          <w:sz w:val="32"/>
          <w:szCs w:val="32"/>
          <w:shd w:val="clear" w:color="auto" w:fill="FFFFFF"/>
        </w:rPr>
        <w:t xml:space="preserve">指安康市恒口示范区。恒口示范区是安康市政府直管的改革实验区，也是安康市创建“中国毛绒玩具文创产业新都”的核心承接区。汇集国内大型毛绒玩具生产加工文创企业，构建毛绒玩具文创产业完整产业链，开拓毛绒玩具文创设计、产品加工、产品集散、物流服务等领域，重点发展总部经济、园区经济，打造恒口示范区毛绒玩具文创产业园。根据市政府统筹规划，在恒口示范区毛绒玩具文创产业园内建设和发展毛绒玩具创意设计中心、毛绒玩具产品交易中心、毛绒玩具电商运营中心、毛绒玩具物流中心和毛绒玩具原料批发中心。 </w:t>
      </w:r>
    </w:p>
    <w:p>
      <w:pPr>
        <w:pStyle w:val="2"/>
        <w:pageBreakBefore w:val="0"/>
        <w:kinsoku/>
        <w:wordWrap/>
        <w:overflowPunct/>
        <w:topLinePunct w:val="0"/>
        <w:autoSpaceDE/>
        <w:autoSpaceDN/>
        <w:bidi w:val="0"/>
        <w:adjustRightInd/>
        <w:snapToGrid/>
        <w:spacing w:before="0" w:after="0" w:line="560" w:lineRule="exact"/>
        <w:ind w:firstLine="640" w:firstLineChars="200"/>
        <w:jc w:val="both"/>
        <w:textAlignment w:val="auto"/>
        <w:rPr>
          <w:rFonts w:hint="eastAsia" w:ascii="黑体" w:hAnsi="黑体" w:eastAsia="黑体"/>
          <w:b w:val="0"/>
          <w:bCs w:val="0"/>
          <w:color w:val="000000" w:themeColor="text1"/>
          <w:sz w:val="32"/>
          <w:szCs w:val="32"/>
        </w:rPr>
      </w:pPr>
      <w:bookmarkStart w:id="75" w:name="_Toc18287636"/>
      <w:bookmarkStart w:id="76" w:name="_Toc12454023"/>
      <w:bookmarkStart w:id="77" w:name="_Toc8658493"/>
      <w:bookmarkStart w:id="78" w:name="_Toc8658500"/>
      <w:bookmarkStart w:id="79" w:name="_Toc4588669"/>
      <w:bookmarkStart w:id="80" w:name="_Toc7209724"/>
      <w:r>
        <w:rPr>
          <w:rFonts w:hint="eastAsia" w:ascii="黑体" w:hAnsi="黑体" w:eastAsia="黑体"/>
          <w:b w:val="0"/>
          <w:bCs w:val="0"/>
          <w:color w:val="000000" w:themeColor="text1"/>
          <w:sz w:val="32"/>
          <w:szCs w:val="32"/>
        </w:rPr>
        <w:t>五、重点任务</w:t>
      </w:r>
      <w:bookmarkEnd w:id="75"/>
      <w:bookmarkEnd w:id="76"/>
      <w:bookmarkEnd w:id="77"/>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Arial"/>
          <w:color w:val="000000" w:themeColor="text1"/>
          <w:sz w:val="32"/>
          <w:szCs w:val="32"/>
          <w:shd w:val="clear" w:color="auto" w:fill="FFFFFF"/>
        </w:rPr>
      </w:pPr>
      <w:bookmarkStart w:id="81" w:name="_Toc12454024"/>
      <w:bookmarkStart w:id="82" w:name="_Toc7081004"/>
      <w:r>
        <w:rPr>
          <w:rFonts w:hint="eastAsia" w:ascii="仿宋" w:hAnsi="仿宋" w:eastAsia="仿宋" w:cs="Arial"/>
          <w:color w:val="000000" w:themeColor="text1"/>
          <w:sz w:val="32"/>
          <w:szCs w:val="32"/>
          <w:shd w:val="clear" w:color="auto" w:fill="FFFFFF"/>
        </w:rPr>
        <w:t>根据《</w:t>
      </w:r>
      <w:bookmarkStart w:id="83" w:name="OLE_LINK1"/>
      <w:bookmarkStart w:id="84" w:name="OLE_LINK2"/>
      <w:r>
        <w:rPr>
          <w:rFonts w:hint="eastAsia" w:ascii="仿宋" w:hAnsi="仿宋" w:eastAsia="仿宋" w:cs="Arial"/>
          <w:color w:val="000000" w:themeColor="text1"/>
          <w:sz w:val="32"/>
          <w:szCs w:val="32"/>
          <w:shd w:val="clear" w:color="auto" w:fill="FFFFFF"/>
        </w:rPr>
        <w:t>安康市人民政府关于加快推进毛绒玩具文创产业发展打造安康新兴支柱产业的意见</w:t>
      </w:r>
      <w:bookmarkEnd w:id="83"/>
      <w:bookmarkEnd w:id="84"/>
      <w:r>
        <w:rPr>
          <w:rFonts w:hint="eastAsia" w:ascii="仿宋" w:hAnsi="仿宋" w:eastAsia="仿宋" w:cs="Arial"/>
          <w:color w:val="000000" w:themeColor="text1"/>
          <w:sz w:val="32"/>
          <w:szCs w:val="32"/>
          <w:shd w:val="clear" w:color="auto" w:fill="FFFFFF"/>
        </w:rPr>
        <w:t>》（安政发〔2018〕16号）精神，重点完成如下任务：</w:t>
      </w:r>
    </w:p>
    <w:p>
      <w:pPr>
        <w:pStyle w:val="3"/>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楷体_GB2312" w:hAnsi="楷体_GB2312" w:eastAsia="楷体_GB2312" w:cs="楷体_GB2312"/>
          <w:b/>
          <w:bCs w:val="0"/>
          <w:color w:val="000000" w:themeColor="text1"/>
        </w:rPr>
      </w:pPr>
      <w:bookmarkStart w:id="85" w:name="_Toc18287637"/>
      <w:bookmarkStart w:id="86" w:name="_Toc12454025"/>
      <w:r>
        <w:rPr>
          <w:rFonts w:hint="eastAsia" w:ascii="楷体_GB2312" w:hAnsi="楷体_GB2312" w:eastAsia="楷体_GB2312" w:cs="楷体_GB2312"/>
          <w:b/>
          <w:bCs w:val="0"/>
          <w:color w:val="000000" w:themeColor="text1"/>
        </w:rPr>
        <w:t>（一）基础设施建设行动</w:t>
      </w:r>
      <w:bookmarkEnd w:id="85"/>
      <w:bookmarkEnd w:id="86"/>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b/>
          <w:bCs/>
          <w:color w:val="000000" w:themeColor="text1"/>
          <w:sz w:val="32"/>
          <w:szCs w:val="32"/>
          <w:shd w:val="clear" w:color="auto" w:fill="FFFFFF"/>
        </w:rPr>
        <w:t>——加快标准化厂房建设。</w:t>
      </w:r>
      <w:r>
        <w:rPr>
          <w:rFonts w:hint="eastAsia" w:ascii="仿宋_GB2312" w:hAnsi="仿宋_GB2312" w:eastAsia="仿宋_GB2312" w:cs="仿宋_GB2312"/>
          <w:color w:val="000000" w:themeColor="text1"/>
          <w:sz w:val="32"/>
          <w:szCs w:val="32"/>
          <w:shd w:val="clear" w:color="auto" w:fill="FFFFFF"/>
        </w:rPr>
        <w:t>根据市政府关于标准化厂房建设任务部署与安排，按照通用性、配套性、集约性的要求，对移民搬迁社区规模在300户以上的，在社区内或周边一平方公里之内建设标准化厂房；每个标准化厂房的面积不低于2000平方米。</w:t>
      </w:r>
    </w:p>
    <w:p>
      <w:pPr>
        <w:pageBreakBefore w:val="0"/>
        <w:widowControl w:val="0"/>
        <w:kinsoku/>
        <w:wordWrap/>
        <w:overflowPunct/>
        <w:topLinePunct w:val="0"/>
        <w:autoSpaceDE/>
        <w:autoSpaceDN/>
        <w:bidi w:val="0"/>
        <w:adjustRightInd/>
        <w:snapToGrid/>
        <w:spacing w:line="560" w:lineRule="exact"/>
        <w:ind w:firstLine="641"/>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b/>
          <w:bCs/>
          <w:color w:val="000000" w:themeColor="text1"/>
          <w:sz w:val="32"/>
          <w:szCs w:val="32"/>
          <w:shd w:val="clear" w:color="auto" w:fill="FFFFFF"/>
        </w:rPr>
        <w:t>——推进新社区工厂建设。</w:t>
      </w:r>
      <w:r>
        <w:rPr>
          <w:rFonts w:hint="eastAsia" w:ascii="仿宋_GB2312" w:hAnsi="仿宋_GB2312" w:eastAsia="仿宋_GB2312" w:cs="仿宋_GB2312"/>
          <w:color w:val="000000" w:themeColor="text1"/>
          <w:sz w:val="32"/>
          <w:szCs w:val="32"/>
          <w:shd w:val="clear" w:color="auto" w:fill="FFFFFF"/>
        </w:rPr>
        <w:t>参照《安康市地方标准—安康市新社区工厂（DB 6109/T276—2018）》，按照“总体布局、一次规划、分年实施”的原则，做好新社区工厂的厂房布局选址、设计规划、报建审批、招标建设。对移民搬迁社区规模100户以上的，每个社区至少建成1个新社区工厂，实现新社区工厂全覆盖</w:t>
      </w:r>
    </w:p>
    <w:tbl>
      <w:tblPr>
        <w:tblStyle w:val="1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8522" w:type="dxa"/>
            <w:shd w:val="clear" w:color="auto" w:fill="A5A5A5" w:themeFill="background1" w:themeFillShade="A6"/>
            <w:vAlign w:val="center"/>
          </w:tcPr>
          <w:p>
            <w:pPr>
              <w:spacing w:before="156" w:beforeLines="50" w:after="156" w:afterLines="50"/>
              <w:jc w:val="center"/>
              <w:rPr>
                <w:rFonts w:ascii="仿宋" w:hAnsi="仿宋" w:eastAsia="仿宋" w:cs="Times New Roman"/>
                <w:b/>
                <w:color w:val="000000" w:themeColor="text1"/>
                <w:sz w:val="24"/>
                <w:szCs w:val="24"/>
                <w:lang w:val="zh-TW"/>
              </w:rPr>
            </w:pPr>
            <w:r>
              <w:rPr>
                <w:rFonts w:hint="eastAsia" w:ascii="仿宋" w:hAnsi="仿宋" w:eastAsia="仿宋" w:cs="Times New Roman"/>
                <w:b/>
                <w:color w:val="000000" w:themeColor="text1"/>
                <w:sz w:val="24"/>
                <w:szCs w:val="24"/>
                <w:lang w:val="zh-TW"/>
              </w:rPr>
              <w:t>专栏-</w:t>
            </w:r>
            <w:r>
              <w:rPr>
                <w:rFonts w:hint="eastAsia" w:ascii="仿宋" w:hAnsi="仿宋" w:cs="Times New Roman"/>
                <w:b/>
                <w:color w:val="000000" w:themeColor="text1"/>
                <w:sz w:val="24"/>
                <w:szCs w:val="24"/>
                <w:lang w:val="zh-TW"/>
              </w:rPr>
              <w:t>3</w:t>
            </w:r>
            <w:r>
              <w:rPr>
                <w:rFonts w:hint="eastAsia" w:ascii="仿宋" w:hAnsi="仿宋" w:eastAsia="仿宋" w:cs="Times New Roman"/>
                <w:b/>
                <w:color w:val="000000" w:themeColor="text1"/>
                <w:sz w:val="24"/>
                <w:szCs w:val="24"/>
                <w:lang w:val="zh-TW"/>
              </w:rPr>
              <w:t xml:space="preserve"> 安康市新社区工厂地方标准（DB 6109/T276—2018）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before="156" w:beforeLines="50" w:line="360" w:lineRule="auto"/>
              <w:rPr>
                <w:rFonts w:ascii="仿宋" w:hAnsi="仿宋" w:eastAsia="仿宋" w:cs="Times New Roman"/>
                <w:color w:val="000000" w:themeColor="text1"/>
                <w:sz w:val="24"/>
                <w:szCs w:val="24"/>
              </w:rPr>
            </w:pPr>
            <w:r>
              <w:rPr>
                <w:rFonts w:hint="eastAsia" w:ascii="仿宋" w:hAnsi="仿宋" w:eastAsia="仿宋" w:cs="Times New Roman"/>
                <w:color w:val="000000" w:themeColor="text1"/>
                <w:sz w:val="24"/>
                <w:szCs w:val="24"/>
              </w:rPr>
              <w:t>1范围：适用于安康市行政区域内的新社区工厂。</w:t>
            </w:r>
          </w:p>
          <w:p>
            <w:pPr>
              <w:spacing w:line="360" w:lineRule="auto"/>
              <w:rPr>
                <w:rFonts w:ascii="仿宋" w:hAnsi="仿宋" w:eastAsia="仿宋" w:cs="Times New Roman"/>
                <w:color w:val="000000" w:themeColor="text1"/>
                <w:sz w:val="24"/>
                <w:szCs w:val="24"/>
              </w:rPr>
            </w:pPr>
            <w:r>
              <w:rPr>
                <w:rFonts w:hint="eastAsia" w:ascii="仿宋" w:hAnsi="仿宋" w:eastAsia="仿宋" w:cs="Times New Roman"/>
                <w:color w:val="000000" w:themeColor="text1"/>
                <w:sz w:val="24"/>
                <w:szCs w:val="24"/>
              </w:rPr>
              <w:t>2规范性引用文件</w:t>
            </w:r>
          </w:p>
          <w:p>
            <w:pPr>
              <w:spacing w:line="360" w:lineRule="auto"/>
              <w:ind w:firstLine="480" w:firstLineChars="200"/>
              <w:rPr>
                <w:rFonts w:ascii="仿宋" w:hAnsi="仿宋" w:eastAsia="仿宋" w:cs="Times New Roman"/>
                <w:color w:val="000000" w:themeColor="text1"/>
                <w:sz w:val="24"/>
                <w:szCs w:val="24"/>
              </w:rPr>
            </w:pPr>
            <w:r>
              <w:rPr>
                <w:rFonts w:hint="eastAsia" w:ascii="仿宋" w:hAnsi="仿宋" w:eastAsia="仿宋" w:cs="Times New Roman"/>
                <w:color w:val="000000" w:themeColor="text1"/>
                <w:sz w:val="24"/>
                <w:szCs w:val="24"/>
              </w:rPr>
              <w:t>GB 2894  安全标志及其使用导则</w:t>
            </w:r>
          </w:p>
          <w:p>
            <w:pPr>
              <w:spacing w:line="360" w:lineRule="auto"/>
              <w:ind w:firstLine="480" w:firstLineChars="200"/>
              <w:rPr>
                <w:rFonts w:ascii="仿宋" w:hAnsi="仿宋" w:eastAsia="仿宋" w:cs="Times New Roman"/>
                <w:color w:val="000000" w:themeColor="text1"/>
                <w:sz w:val="24"/>
                <w:szCs w:val="24"/>
              </w:rPr>
            </w:pPr>
            <w:r>
              <w:rPr>
                <w:rFonts w:hint="eastAsia" w:ascii="仿宋" w:hAnsi="仿宋" w:eastAsia="仿宋" w:cs="Times New Roman"/>
                <w:color w:val="000000" w:themeColor="text1"/>
                <w:sz w:val="24"/>
                <w:szCs w:val="24"/>
              </w:rPr>
              <w:t>GB 5083  生产设备安全卫生设计总则</w:t>
            </w:r>
          </w:p>
          <w:p>
            <w:pPr>
              <w:spacing w:line="360" w:lineRule="auto"/>
              <w:ind w:firstLine="480" w:firstLineChars="200"/>
              <w:rPr>
                <w:rFonts w:ascii="仿宋" w:hAnsi="仿宋" w:eastAsia="仿宋" w:cs="Times New Roman"/>
                <w:color w:val="000000" w:themeColor="text1"/>
                <w:sz w:val="24"/>
                <w:szCs w:val="24"/>
              </w:rPr>
            </w:pPr>
            <w:r>
              <w:rPr>
                <w:rFonts w:hint="eastAsia" w:ascii="仿宋" w:hAnsi="仿宋" w:eastAsia="仿宋" w:cs="Times New Roman"/>
                <w:color w:val="000000" w:themeColor="text1"/>
                <w:sz w:val="24"/>
                <w:szCs w:val="24"/>
              </w:rPr>
              <w:t>GB 50016  建筑设计防火规范</w:t>
            </w:r>
          </w:p>
          <w:p>
            <w:pPr>
              <w:spacing w:line="360" w:lineRule="auto"/>
              <w:ind w:firstLine="480" w:firstLineChars="200"/>
              <w:rPr>
                <w:rFonts w:ascii="仿宋" w:hAnsi="仿宋" w:eastAsia="仿宋" w:cs="Times New Roman"/>
                <w:color w:val="000000" w:themeColor="text1"/>
                <w:sz w:val="24"/>
                <w:szCs w:val="24"/>
              </w:rPr>
            </w:pPr>
            <w:r>
              <w:rPr>
                <w:rFonts w:hint="eastAsia" w:ascii="仿宋" w:hAnsi="仿宋" w:eastAsia="仿宋" w:cs="Times New Roman"/>
                <w:color w:val="000000" w:themeColor="text1"/>
                <w:sz w:val="24"/>
                <w:szCs w:val="24"/>
              </w:rPr>
              <w:t>GB 50140  建筑灭火器配置设计规范</w:t>
            </w:r>
          </w:p>
          <w:p>
            <w:pPr>
              <w:spacing w:line="360" w:lineRule="auto"/>
              <w:ind w:firstLine="480" w:firstLineChars="200"/>
              <w:rPr>
                <w:rFonts w:ascii="仿宋" w:hAnsi="仿宋" w:eastAsia="仿宋" w:cs="Times New Roman"/>
                <w:color w:val="000000" w:themeColor="text1"/>
                <w:sz w:val="24"/>
                <w:szCs w:val="24"/>
              </w:rPr>
            </w:pPr>
            <w:r>
              <w:rPr>
                <w:rFonts w:hint="eastAsia" w:ascii="仿宋" w:hAnsi="仿宋" w:eastAsia="仿宋" w:cs="Times New Roman"/>
                <w:color w:val="000000" w:themeColor="text1"/>
                <w:sz w:val="24"/>
                <w:szCs w:val="24"/>
              </w:rPr>
              <w:t>GB 50763  无障碍设计规范</w:t>
            </w:r>
          </w:p>
          <w:p>
            <w:pPr>
              <w:spacing w:line="360" w:lineRule="auto"/>
              <w:ind w:firstLine="480" w:firstLineChars="200"/>
              <w:rPr>
                <w:rFonts w:ascii="仿宋" w:hAnsi="仿宋" w:eastAsia="仿宋" w:cs="Times New Roman"/>
                <w:color w:val="000000" w:themeColor="text1"/>
                <w:sz w:val="24"/>
                <w:szCs w:val="24"/>
              </w:rPr>
            </w:pPr>
            <w:r>
              <w:rPr>
                <w:rFonts w:hint="eastAsia" w:ascii="仿宋" w:hAnsi="仿宋" w:eastAsia="仿宋" w:cs="Times New Roman"/>
                <w:color w:val="000000" w:themeColor="text1"/>
                <w:sz w:val="24"/>
                <w:szCs w:val="24"/>
              </w:rPr>
              <w:t>GB/T 13869  用电安全导则</w:t>
            </w:r>
          </w:p>
          <w:p>
            <w:pPr>
              <w:spacing w:after="156" w:afterLines="50" w:line="360" w:lineRule="auto"/>
              <w:ind w:firstLine="480" w:firstLineChars="200"/>
              <w:rPr>
                <w:rFonts w:ascii="仿宋" w:hAnsi="仿宋" w:eastAsia="仿宋" w:cs="宋体"/>
                <w:b/>
                <w:bCs/>
                <w:color w:val="000000" w:themeColor="text1"/>
                <w:sz w:val="24"/>
                <w:szCs w:val="24"/>
              </w:rPr>
            </w:pPr>
            <w:r>
              <w:rPr>
                <w:rFonts w:hint="eastAsia" w:ascii="仿宋" w:hAnsi="仿宋" w:eastAsia="仿宋" w:cs="Times New Roman"/>
                <w:color w:val="000000" w:themeColor="text1"/>
                <w:sz w:val="24"/>
                <w:szCs w:val="24"/>
              </w:rPr>
              <w:t>GB/T 36735-2018  社区便民服务中心服务规范</w:t>
            </w:r>
          </w:p>
        </w:tc>
      </w:tr>
    </w:tbl>
    <w:p>
      <w:pPr>
        <w:pageBreakBefore w:val="0"/>
        <w:widowControl w:val="0"/>
        <w:kinsoku/>
        <w:wordWrap/>
        <w:overflowPunct/>
        <w:topLinePunct w:val="0"/>
        <w:autoSpaceDE/>
        <w:autoSpaceDN/>
        <w:bidi w:val="0"/>
        <w:adjustRightInd/>
        <w:snapToGrid/>
        <w:spacing w:line="560" w:lineRule="exact"/>
        <w:ind w:firstLine="641"/>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b/>
          <w:bCs/>
          <w:color w:val="000000" w:themeColor="text1"/>
          <w:sz w:val="32"/>
          <w:szCs w:val="32"/>
          <w:shd w:val="clear" w:color="auto" w:fill="FFFFFF"/>
        </w:rPr>
        <w:t>——因地制宜，改建、扩建加工车间。</w:t>
      </w:r>
      <w:r>
        <w:rPr>
          <w:rFonts w:hint="eastAsia" w:ascii="仿宋_GB2312" w:hAnsi="仿宋_GB2312" w:eastAsia="仿宋_GB2312" w:cs="仿宋_GB2312"/>
          <w:color w:val="000000" w:themeColor="text1"/>
          <w:sz w:val="32"/>
          <w:szCs w:val="32"/>
          <w:shd w:val="clear" w:color="auto" w:fill="FFFFFF"/>
        </w:rPr>
        <w:t>充分利用移民搬迁社区配建的商业用房、集镇街道和社区空置门店、老厂房、旧学校、旧办公楼等闲置土地、房屋，引导、鼓励创办生产加工型工厂（分厂）或加工车间，按照企业生产要求配套公共设施。</w:t>
      </w:r>
    </w:p>
    <w:p>
      <w:pPr>
        <w:pageBreakBefore w:val="0"/>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b/>
          <w:bCs/>
          <w:color w:val="000000" w:themeColor="text1"/>
          <w:sz w:val="32"/>
          <w:szCs w:val="32"/>
          <w:shd w:val="clear" w:color="auto" w:fill="FFFFFF"/>
        </w:rPr>
        <w:t>——完善消防设备，配套公共设施。</w:t>
      </w:r>
      <w:r>
        <w:rPr>
          <w:rFonts w:hint="eastAsia" w:ascii="仿宋_GB2312" w:hAnsi="仿宋_GB2312" w:eastAsia="仿宋_GB2312" w:cs="仿宋_GB2312"/>
          <w:color w:val="000000" w:themeColor="text1"/>
          <w:sz w:val="32"/>
          <w:szCs w:val="32"/>
          <w:shd w:val="clear" w:color="auto" w:fill="FFFFFF"/>
        </w:rPr>
        <w:t>所有标准化厂房、建社区工厂、加工车间，必须配套建设消防设施和微型消防站，要建设要进行简易装修，水、电、道路、通讯等基础设施要配套到位，保证正常生产。每个社区工厂（加工车间）必须配套建设儿童托管中心、老人日间照料中心、青年志愿者服务等，切实解决新社区工厂员工的老人照料、小孩接送等问题，解决工人后顾之忧。</w:t>
      </w:r>
    </w:p>
    <w:p>
      <w:pPr>
        <w:pageBreakBefore w:val="0"/>
        <w:widowControl w:val="0"/>
        <w:kinsoku/>
        <w:wordWrap/>
        <w:overflowPunct/>
        <w:topLinePunct w:val="0"/>
        <w:autoSpaceDE/>
        <w:autoSpaceDN/>
        <w:bidi w:val="0"/>
        <w:adjustRightInd/>
        <w:snapToGrid/>
        <w:spacing w:line="560" w:lineRule="exact"/>
        <w:ind w:firstLine="641"/>
        <w:textAlignment w:val="auto"/>
        <w:rPr>
          <w:rFonts w:ascii="仿宋" w:hAnsi="仿宋" w:eastAsia="仿宋" w:cs="Arial"/>
          <w:color w:val="000000" w:themeColor="text1"/>
          <w:sz w:val="32"/>
          <w:szCs w:val="32"/>
          <w:shd w:val="clear" w:color="auto" w:fill="FFFFFF"/>
        </w:rPr>
      </w:pPr>
      <w:r>
        <w:rPr>
          <w:rFonts w:hint="eastAsia" w:ascii="仿宋_GB2312" w:hAnsi="仿宋_GB2312" w:eastAsia="仿宋_GB2312" w:cs="仿宋_GB2312"/>
          <w:b/>
          <w:bCs/>
          <w:color w:val="000000" w:themeColor="text1"/>
          <w:sz w:val="32"/>
          <w:szCs w:val="32"/>
          <w:shd w:val="clear" w:color="auto" w:fill="FFFFFF"/>
        </w:rPr>
        <w:t>——大力发展多式联运，打造物流集散枢纽。</w:t>
      </w:r>
      <w:r>
        <w:rPr>
          <w:rFonts w:hint="eastAsia" w:ascii="仿宋_GB2312" w:hAnsi="仿宋_GB2312" w:eastAsia="仿宋_GB2312" w:cs="仿宋_GB2312"/>
          <w:color w:val="000000" w:themeColor="text1"/>
          <w:sz w:val="32"/>
          <w:szCs w:val="32"/>
          <w:shd w:val="clear" w:color="auto" w:fill="FFFFFF"/>
        </w:rPr>
        <w:t>推动公路等运输方式进企业、进园区、进市场。与上海港、西安铁路局等单位合作，共建“无水港”物流方式，进一步推进口岸建设和通关便利化。大力发展“公铁水联运”模式，整合资源，打造秦巴地区公路物流集散枢纽。支持本地物流企业、物流园区对接毛绒玩具企业开展专线运输、物流仓储、原料采购等服务。支持建立行业物流数据中心，深入分析物流运行情况，引导物流企业降低物流成本。</w:t>
      </w:r>
    </w:p>
    <w:p>
      <w:pPr>
        <w:pStyle w:val="3"/>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楷体_GB2312" w:hAnsi="楷体_GB2312" w:eastAsia="楷体_GB2312" w:cs="楷体_GB2312"/>
          <w:b/>
          <w:bCs w:val="0"/>
          <w:color w:val="000000" w:themeColor="text1"/>
        </w:rPr>
      </w:pPr>
      <w:bookmarkStart w:id="87" w:name="_Toc12454026"/>
      <w:bookmarkStart w:id="88" w:name="_Toc18287638"/>
      <w:r>
        <w:rPr>
          <w:rFonts w:hint="eastAsia" w:ascii="楷体_GB2312" w:hAnsi="楷体_GB2312" w:eastAsia="楷体_GB2312" w:cs="楷体_GB2312"/>
          <w:b/>
          <w:bCs w:val="0"/>
          <w:color w:val="000000" w:themeColor="text1"/>
        </w:rPr>
        <w:t>（二）人才引育行动</w:t>
      </w:r>
      <w:bookmarkEnd w:id="87"/>
      <w:bookmarkEnd w:id="88"/>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b/>
          <w:bCs/>
          <w:color w:val="000000" w:themeColor="text1"/>
          <w:sz w:val="32"/>
          <w:szCs w:val="32"/>
          <w:shd w:val="clear" w:color="auto" w:fill="FFFFFF"/>
        </w:rPr>
        <w:t>——实施毛绒玩具高层次人才引育计划。</w:t>
      </w:r>
      <w:r>
        <w:rPr>
          <w:rFonts w:hint="eastAsia" w:ascii="仿宋_GB2312" w:hAnsi="仿宋_GB2312" w:eastAsia="仿宋_GB2312" w:cs="仿宋_GB2312"/>
          <w:color w:val="000000" w:themeColor="text1"/>
          <w:sz w:val="32"/>
          <w:szCs w:val="32"/>
          <w:shd w:val="clear" w:color="auto" w:fill="FFFFFF"/>
        </w:rPr>
        <w:t>通过柔性引进方式，3-5年内引进10名左右高层次毛绒玩具文创专家，为重大项目合作、关键技术研发、创新成果转化等提供咨询服务；组织重点毛绒玩具文创企业到全国重点地区、重点高校、重点企业大力招揽骨干研发人才，吸引一批骨干研发人才到安康工作，夯实研发人才基础；通过外送研修、结对指导等方式，重点培养30-50名行业后备骨干人才，建设一支高素质后备人才梯队。</w:t>
      </w:r>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仿宋" w:hAnsi="仿宋" w:eastAsia="仿宋" w:cs="Times New Roman"/>
          <w:color w:val="000000" w:themeColor="text1"/>
          <w:sz w:val="32"/>
          <w:szCs w:val="32"/>
        </w:rPr>
      </w:pPr>
      <w:r>
        <w:rPr>
          <w:rFonts w:hint="eastAsia" w:ascii="仿宋_GB2312" w:hAnsi="仿宋_GB2312" w:eastAsia="仿宋_GB2312" w:cs="仿宋_GB2312"/>
          <w:b/>
          <w:bCs/>
          <w:color w:val="000000" w:themeColor="text1"/>
          <w:sz w:val="32"/>
          <w:szCs w:val="32"/>
          <w:shd w:val="clear" w:color="auto" w:fill="FFFFFF"/>
        </w:rPr>
        <w:t>——实施毛绒玩具企业管理人才培育计划。</w:t>
      </w:r>
      <w:r>
        <w:rPr>
          <w:rFonts w:hint="eastAsia" w:ascii="仿宋_GB2312" w:hAnsi="仿宋_GB2312" w:eastAsia="仿宋_GB2312" w:cs="仿宋_GB2312"/>
          <w:color w:val="000000" w:themeColor="text1"/>
          <w:sz w:val="32"/>
          <w:szCs w:val="32"/>
          <w:shd w:val="clear" w:color="auto" w:fill="FFFFFF"/>
        </w:rPr>
        <w:t>通过组织多层次全方位的培育，全面提升毛绒玩具企业经营管理人才综合素质，推动企业管理创新、优化升级、提质增效。对100名有一定专业基础知识和企业经营管理实践经验的经营管理人才进行系统的理论学习和实践能力提升培养，使其在战略规划能力、经营决策能力、市场开拓能力、企业治理水平等方面处于国内先进水平。筛选出20名企业家，开展专业化、科学化、精细化、体系化的培训，提高企业家的战略思维、资本运作、风险决策、驾驭全局和自主创新能力。　</w:t>
      </w:r>
      <w:r>
        <w:rPr>
          <w:rFonts w:hint="eastAsia" w:ascii="仿宋" w:hAnsi="仿宋" w:eastAsia="仿宋" w:cs="Times New Roman"/>
          <w:color w:val="000000" w:themeColor="text1"/>
          <w:sz w:val="32"/>
          <w:szCs w:val="32"/>
        </w:rPr>
        <w:t>　</w:t>
      </w:r>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仿宋" w:hAnsi="仿宋" w:eastAsia="仿宋" w:cs="Times New Roman"/>
          <w:color w:val="000000" w:themeColor="text1"/>
        </w:rPr>
      </w:pPr>
      <w:r>
        <w:rPr>
          <w:rFonts w:hint="eastAsia" w:ascii="仿宋_GB2312" w:hAnsi="仿宋_GB2312" w:eastAsia="仿宋_GB2312" w:cs="仿宋_GB2312"/>
          <w:b/>
          <w:bCs/>
          <w:color w:val="000000" w:themeColor="text1"/>
          <w:sz w:val="32"/>
          <w:szCs w:val="32"/>
          <w:shd w:val="clear" w:color="auto" w:fill="FFFFFF"/>
        </w:rPr>
        <w:t>——推进毛绒玩具产业工人培养计划。</w:t>
      </w:r>
      <w:r>
        <w:rPr>
          <w:rFonts w:hint="eastAsia" w:ascii="仿宋_GB2312" w:hAnsi="仿宋_GB2312" w:eastAsia="仿宋_GB2312" w:cs="仿宋_GB2312"/>
          <w:color w:val="000000" w:themeColor="text1"/>
          <w:sz w:val="32"/>
          <w:szCs w:val="32"/>
          <w:shd w:val="clear" w:color="auto" w:fill="FFFFFF"/>
        </w:rPr>
        <w:t>开展毛绒玩具文创产业工人培训，着力培训产业亟需的车缝工、绣花工等，推动农民向产业工人转变。启动毛绒玩具技能大赛，助推优秀技能工人脱颖而出。发挥周边高校教育资源富集的优势，与大专院校合作建设毛绒文创玩具产业培训基地，开展定向、定岗和订单式培养，以及创新创业培训，引导一批有志之士积极投身毛绒玩具文创产业。</w:t>
      </w:r>
    </w:p>
    <w:tbl>
      <w:tblPr>
        <w:tblStyle w:val="12"/>
        <w:tblpPr w:leftFromText="180" w:rightFromText="180" w:vertAnchor="text" w:horzAnchor="margin" w:tblpY="25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A5A5A5" w:themeFill="background1" w:themeFillShade="A6"/>
            <w:vAlign w:val="center"/>
          </w:tcPr>
          <w:p>
            <w:pPr>
              <w:spacing w:before="156" w:beforeLines="50" w:after="156" w:afterLines="50"/>
              <w:jc w:val="center"/>
              <w:rPr>
                <w:rFonts w:ascii="仿宋" w:hAnsi="仿宋" w:eastAsia="仿宋" w:cs="Times New Roman"/>
                <w:b/>
                <w:color w:val="000000" w:themeColor="text1"/>
                <w:sz w:val="24"/>
                <w:szCs w:val="24"/>
                <w:lang w:val="zh-TW"/>
              </w:rPr>
            </w:pPr>
            <w:r>
              <w:rPr>
                <w:rFonts w:hint="eastAsia" w:ascii="仿宋" w:hAnsi="仿宋" w:eastAsia="仿宋" w:cs="Times New Roman"/>
                <w:b/>
                <w:color w:val="000000" w:themeColor="text1"/>
                <w:sz w:val="24"/>
                <w:szCs w:val="24"/>
                <w:lang w:val="zh-TW"/>
              </w:rPr>
              <w:t>专栏-</w:t>
            </w:r>
            <w:r>
              <w:rPr>
                <w:rFonts w:hint="eastAsia" w:ascii="仿宋" w:hAnsi="仿宋" w:cs="Times New Roman"/>
                <w:b/>
                <w:color w:val="000000" w:themeColor="text1"/>
                <w:sz w:val="24"/>
                <w:szCs w:val="24"/>
                <w:lang w:val="zh-TW"/>
              </w:rPr>
              <w:t>4</w:t>
            </w:r>
            <w:r>
              <w:rPr>
                <w:rFonts w:hint="eastAsia" w:ascii="仿宋" w:hAnsi="仿宋" w:eastAsia="仿宋" w:cs="Times New Roman"/>
                <w:b/>
                <w:color w:val="000000" w:themeColor="text1"/>
                <w:sz w:val="24"/>
                <w:szCs w:val="24"/>
                <w:lang w:val="zh-TW"/>
              </w:rPr>
              <w:t xml:space="preserve"> 安康毛绒玩具文创产业人才引育工作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before="156" w:beforeLines="50" w:line="360" w:lineRule="auto"/>
              <w:ind w:firstLine="482" w:firstLineChars="200"/>
              <w:rPr>
                <w:rFonts w:ascii="仿宋" w:hAnsi="仿宋" w:eastAsia="仿宋" w:cs="Times New Roman"/>
                <w:color w:val="000000" w:themeColor="text1"/>
                <w:sz w:val="24"/>
                <w:szCs w:val="24"/>
              </w:rPr>
            </w:pPr>
            <w:r>
              <w:rPr>
                <w:rFonts w:hint="eastAsia" w:ascii="仿宋" w:hAnsi="仿宋" w:eastAsia="仿宋" w:cs="Times New Roman"/>
                <w:b/>
                <w:color w:val="000000" w:themeColor="text1"/>
                <w:sz w:val="24"/>
                <w:szCs w:val="24"/>
              </w:rPr>
              <w:t>1、高层次人才引进计划。</w:t>
            </w:r>
            <w:r>
              <w:rPr>
                <w:rFonts w:hint="eastAsia" w:ascii="仿宋" w:hAnsi="仿宋" w:eastAsia="仿宋" w:cs="Times New Roman"/>
                <w:color w:val="000000" w:themeColor="text1"/>
                <w:sz w:val="24"/>
                <w:szCs w:val="24"/>
              </w:rPr>
              <w:t>通过制定、修改事业单位引进高层次人才管理办法，高级专家选拔、管理和联系办法，人才工作项目化管理办法，柔性引进或直接引进毛绒玩具文创产业专家、高端企业管理人才。建立毛绒玩具文创产业高端智库、专家工作站，加快人才引进集聚、强化人才培育使用、优化人才发展环境。</w:t>
            </w:r>
          </w:p>
          <w:p>
            <w:pPr>
              <w:spacing w:line="360" w:lineRule="auto"/>
              <w:rPr>
                <w:rFonts w:ascii="仿宋" w:hAnsi="仿宋" w:eastAsia="仿宋" w:cs="Times New Roman"/>
                <w:color w:val="000000" w:themeColor="text1"/>
                <w:sz w:val="24"/>
                <w:szCs w:val="24"/>
              </w:rPr>
            </w:pPr>
            <w:r>
              <w:rPr>
                <w:rFonts w:hint="eastAsia" w:ascii="仿宋" w:hAnsi="仿宋" w:eastAsia="仿宋" w:cs="Times New Roman"/>
                <w:color w:val="000000" w:themeColor="text1"/>
                <w:sz w:val="24"/>
                <w:szCs w:val="24"/>
              </w:rPr>
              <w:t xml:space="preserve">   </w:t>
            </w:r>
            <w:r>
              <w:rPr>
                <w:rFonts w:hint="eastAsia" w:ascii="仿宋" w:hAnsi="仿宋" w:eastAsia="仿宋" w:cs="Times New Roman"/>
                <w:b/>
                <w:color w:val="000000" w:themeColor="text1"/>
                <w:sz w:val="24"/>
                <w:szCs w:val="24"/>
              </w:rPr>
              <w:t xml:space="preserve"> 2、专业技能人才培育计划。</w:t>
            </w:r>
            <w:r>
              <w:rPr>
                <w:rFonts w:hint="eastAsia" w:ascii="仿宋" w:hAnsi="仿宋" w:eastAsia="仿宋" w:cs="Times New Roman"/>
                <w:color w:val="000000" w:themeColor="text1"/>
                <w:sz w:val="24"/>
                <w:szCs w:val="24"/>
              </w:rPr>
              <w:t>由市人社局负责组织，企业协作，统筹资金，建立毛绒玩具文创产业工人职业技能培训基地，引导返乡创业民工、农村剩余劳动力的基本技能培训。着力培训毛绒玩具加工企业亟需的车缝工、绣花工等，推动农民向产业工人转变。加大新社区工厂基层管理人员培训，形成产业人才梯队。</w:t>
            </w:r>
          </w:p>
          <w:p>
            <w:pPr>
              <w:spacing w:after="156" w:afterLines="50" w:line="360" w:lineRule="auto"/>
              <w:ind w:firstLine="482"/>
              <w:rPr>
                <w:rFonts w:ascii="仿宋" w:hAnsi="仿宋" w:eastAsia="仿宋" w:cs="宋体"/>
                <w:b/>
                <w:bCs/>
                <w:color w:val="000000" w:themeColor="text1"/>
                <w:sz w:val="24"/>
                <w:szCs w:val="24"/>
              </w:rPr>
            </w:pPr>
            <w:r>
              <w:rPr>
                <w:rFonts w:hint="eastAsia" w:ascii="仿宋" w:hAnsi="仿宋" w:eastAsia="仿宋" w:cs="Times New Roman"/>
                <w:b/>
                <w:color w:val="000000" w:themeColor="text1"/>
                <w:sz w:val="24"/>
                <w:szCs w:val="24"/>
              </w:rPr>
              <w:t>3、合作培养计划。</w:t>
            </w:r>
            <w:r>
              <w:rPr>
                <w:rFonts w:hint="eastAsia" w:ascii="仿宋" w:hAnsi="仿宋" w:eastAsia="仿宋" w:cs="Times New Roman"/>
                <w:color w:val="000000" w:themeColor="text1"/>
                <w:sz w:val="24"/>
                <w:szCs w:val="24"/>
              </w:rPr>
              <w:t>发挥周边高校教育资源富集的优势，与大专院校合作建设毛绒文创产业培训基地，开展电子商务、市场营销、创意设计、生产管理相关专业定向、定岗和订单式培养，以及创新创业培训，引导毕业学生投身毛绒玩具文创产业。</w:t>
            </w:r>
          </w:p>
        </w:tc>
      </w:tr>
    </w:tbl>
    <w:p>
      <w:pPr>
        <w:pStyle w:val="3"/>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楷体_GB2312" w:hAnsi="楷体_GB2312" w:eastAsia="楷体_GB2312" w:cs="楷体_GB2312"/>
          <w:b/>
          <w:bCs w:val="0"/>
          <w:color w:val="000000" w:themeColor="text1"/>
        </w:rPr>
      </w:pPr>
      <w:bookmarkStart w:id="89" w:name="_Toc18287639"/>
      <w:r>
        <w:rPr>
          <w:rFonts w:hint="eastAsia" w:ascii="楷体_GB2312" w:hAnsi="楷体_GB2312" w:eastAsia="楷体_GB2312" w:cs="楷体_GB2312"/>
          <w:b/>
          <w:bCs w:val="0"/>
          <w:color w:val="000000" w:themeColor="text1"/>
        </w:rPr>
        <w:t>（三）精准招商行动</w:t>
      </w:r>
      <w:bookmarkEnd w:id="81"/>
      <w:bookmarkEnd w:id="89"/>
      <w:r>
        <w:rPr>
          <w:rFonts w:hint="eastAsia" w:ascii="楷体_GB2312" w:hAnsi="楷体_GB2312" w:eastAsia="楷体_GB2312" w:cs="楷体_GB2312"/>
          <w:b/>
          <w:bCs w:val="0"/>
          <w:color w:val="000000" w:themeColor="text1"/>
        </w:rPr>
        <w:t xml:space="preserve"> </w:t>
      </w:r>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b/>
          <w:bCs/>
          <w:color w:val="000000" w:themeColor="text1"/>
          <w:sz w:val="32"/>
          <w:szCs w:val="32"/>
          <w:shd w:val="clear" w:color="auto" w:fill="FFFFFF"/>
        </w:rPr>
        <w:t>——统一精准招商思想。</w:t>
      </w:r>
      <w:r>
        <w:rPr>
          <w:rFonts w:hint="eastAsia" w:ascii="仿宋_GB2312" w:hAnsi="仿宋_GB2312" w:eastAsia="仿宋_GB2312" w:cs="仿宋_GB2312"/>
          <w:color w:val="000000" w:themeColor="text1"/>
          <w:sz w:val="32"/>
          <w:szCs w:val="32"/>
          <w:shd w:val="clear" w:color="auto" w:fill="FFFFFF"/>
        </w:rPr>
        <w:t>整合各种招商引资的资源和力量，在政府引导、部门服务、全方位参与的前提下，发挥重点区域、企业和开发区主力军作用，</w:t>
      </w:r>
      <w:r>
        <w:rPr>
          <w:rFonts w:hint="eastAsia" w:ascii="仿宋_GB2312" w:hAnsi="仿宋_GB2312" w:eastAsia="仿宋_GB2312" w:cs="仿宋_GB2312"/>
          <w:color w:val="000000" w:themeColor="text1"/>
          <w:sz w:val="32"/>
          <w:szCs w:val="32"/>
          <w:shd w:val="clear" w:color="auto" w:fill="FFFFFF"/>
          <w:lang w:eastAsia="zh-CN"/>
        </w:rPr>
        <w:t>突出“引强引优”原则，</w:t>
      </w:r>
      <w:r>
        <w:rPr>
          <w:rFonts w:hint="eastAsia" w:ascii="仿宋_GB2312" w:hAnsi="仿宋_GB2312" w:eastAsia="仿宋_GB2312" w:cs="仿宋_GB2312"/>
          <w:color w:val="000000" w:themeColor="text1"/>
          <w:sz w:val="32"/>
          <w:szCs w:val="32"/>
          <w:shd w:val="clear" w:color="auto" w:fill="FFFFFF"/>
        </w:rPr>
        <w:t>瞄准国内毛绒玩具文创产业发达地区，引进有助于形成产业聚集</w:t>
      </w:r>
      <w:r>
        <w:rPr>
          <w:rFonts w:hint="eastAsia" w:ascii="仿宋_GB2312" w:hAnsi="仿宋_GB2312" w:eastAsia="仿宋_GB2312" w:cs="仿宋_GB2312"/>
          <w:color w:val="000000" w:themeColor="text1"/>
          <w:sz w:val="32"/>
          <w:szCs w:val="32"/>
          <w:shd w:val="clear" w:color="auto" w:fill="FFFFFF"/>
          <w:lang w:eastAsia="zh-CN"/>
        </w:rPr>
        <w:t>延伸</w:t>
      </w:r>
      <w:r>
        <w:rPr>
          <w:rFonts w:hint="eastAsia" w:ascii="仿宋_GB2312" w:hAnsi="仿宋_GB2312" w:eastAsia="仿宋_GB2312" w:cs="仿宋_GB2312"/>
          <w:color w:val="000000" w:themeColor="text1"/>
          <w:sz w:val="32"/>
          <w:szCs w:val="32"/>
          <w:shd w:val="clear" w:color="auto" w:fill="FFFFFF"/>
        </w:rPr>
        <w:t>的项目，进一步加大招商引资力度，提高招商引资质量，</w:t>
      </w:r>
      <w:r>
        <w:rPr>
          <w:rFonts w:hint="eastAsia" w:ascii="仿宋_GB2312" w:hAnsi="仿宋_GB2312" w:eastAsia="仿宋_GB2312" w:cs="仿宋_GB2312"/>
          <w:color w:val="000000" w:themeColor="text1"/>
          <w:sz w:val="32"/>
          <w:szCs w:val="32"/>
          <w:shd w:val="clear" w:color="auto" w:fill="FFFFFF"/>
          <w:lang w:eastAsia="zh-CN"/>
        </w:rPr>
        <w:t>力争全国排名前</w:t>
      </w:r>
      <w:r>
        <w:rPr>
          <w:rFonts w:hint="eastAsia" w:ascii="仿宋_GB2312" w:hAnsi="仿宋_GB2312" w:eastAsia="仿宋_GB2312" w:cs="仿宋_GB2312"/>
          <w:color w:val="000000" w:themeColor="text1"/>
          <w:sz w:val="32"/>
          <w:szCs w:val="32"/>
          <w:shd w:val="clear" w:color="auto" w:fill="FFFFFF"/>
          <w:lang w:val="en-US" w:eastAsia="zh-CN"/>
        </w:rPr>
        <w:t>20位</w:t>
      </w:r>
      <w:r>
        <w:rPr>
          <w:rFonts w:hint="eastAsia" w:ascii="仿宋_GB2312" w:hAnsi="仿宋_GB2312" w:eastAsia="仿宋_GB2312" w:cs="仿宋_GB2312"/>
          <w:color w:val="000000" w:themeColor="text1"/>
          <w:sz w:val="32"/>
          <w:szCs w:val="32"/>
          <w:shd w:val="clear" w:color="auto" w:fill="FFFFFF"/>
          <w:lang w:eastAsia="zh-CN"/>
        </w:rPr>
        <w:t>的毛绒玩具</w:t>
      </w:r>
      <w:r>
        <w:rPr>
          <w:rFonts w:hint="eastAsia" w:ascii="仿宋_GB2312" w:hAnsi="仿宋_GB2312" w:eastAsia="仿宋_GB2312" w:cs="仿宋_GB2312"/>
          <w:color w:val="000000" w:themeColor="text1"/>
          <w:sz w:val="32"/>
          <w:szCs w:val="32"/>
          <w:shd w:val="clear" w:color="auto" w:fill="FFFFFF"/>
          <w:lang w:val="en-US" w:eastAsia="zh-CN"/>
        </w:rPr>
        <w:t>企业全部来安康办厂设点。</w:t>
      </w:r>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b/>
          <w:bCs/>
          <w:color w:val="000000" w:themeColor="text1"/>
          <w:sz w:val="32"/>
          <w:szCs w:val="32"/>
          <w:shd w:val="clear" w:color="auto" w:fill="FFFFFF"/>
        </w:rPr>
        <w:t>——健全和完善精准招商引资工作机制。</w:t>
      </w:r>
      <w:r>
        <w:rPr>
          <w:rFonts w:hint="eastAsia" w:ascii="仿宋_GB2312" w:hAnsi="仿宋_GB2312" w:eastAsia="仿宋_GB2312" w:cs="仿宋_GB2312"/>
          <w:color w:val="000000" w:themeColor="text1"/>
          <w:sz w:val="32"/>
          <w:szCs w:val="32"/>
          <w:shd w:val="clear" w:color="auto" w:fill="FFFFFF"/>
        </w:rPr>
        <w:t>各单位“一把手”为招商引资工作的第一责任人；创新招商项目跟踪服务机制；健全招商人员的干部任用导向机制，提高专业招商人员及招商管理工作人员的待遇。完善经费保障、调度督查机制，提高招商人员的积极性及项目的成功率。</w:t>
      </w:r>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b/>
          <w:bCs/>
          <w:color w:val="000000" w:themeColor="text1"/>
          <w:sz w:val="32"/>
          <w:szCs w:val="32"/>
          <w:shd w:val="clear" w:color="auto" w:fill="FFFFFF"/>
        </w:rPr>
        <w:t>——确定重点招商区域。</w:t>
      </w:r>
      <w:r>
        <w:rPr>
          <w:rFonts w:hint="eastAsia" w:ascii="仿宋_GB2312" w:hAnsi="仿宋_GB2312" w:eastAsia="仿宋_GB2312" w:cs="仿宋_GB2312"/>
          <w:color w:val="000000" w:themeColor="text1"/>
          <w:sz w:val="32"/>
          <w:szCs w:val="32"/>
          <w:shd w:val="clear" w:color="auto" w:fill="FFFFFF"/>
        </w:rPr>
        <w:t>做好精准招商前期调研，抢抓扬州、广东、雄安新区等地毛绒玩具产业转移机遇，瞄准毛绒玩具外贸、物流、原辅料、市场、电商、创意等关键环节，实施全产业链集群式招商。</w:t>
      </w:r>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b/>
          <w:bCs/>
          <w:color w:val="000000" w:themeColor="text1"/>
          <w:sz w:val="32"/>
          <w:szCs w:val="32"/>
          <w:shd w:val="clear" w:color="auto" w:fill="FFFFFF"/>
        </w:rPr>
        <w:t>——转变招商工作方式。</w:t>
      </w:r>
      <w:r>
        <w:rPr>
          <w:rFonts w:hint="eastAsia" w:ascii="仿宋_GB2312" w:hAnsi="仿宋_GB2312" w:eastAsia="仿宋_GB2312" w:cs="仿宋_GB2312"/>
          <w:color w:val="000000" w:themeColor="text1"/>
          <w:sz w:val="32"/>
          <w:szCs w:val="32"/>
          <w:shd w:val="clear" w:color="auto" w:fill="FFFFFF"/>
        </w:rPr>
        <w:t>开展以商招商、亲情招商、小分队招商，精细组织好小型招商推介会，做到精细招商、目标招商。推进招商业务外包，支持各县区聘请毛绒玩具文创产业招商顾问，协助做好招商引资，对引进毛绒玩具文创企业、项目给予一定奖励。</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8522" w:type="dxa"/>
            <w:shd w:val="clear" w:color="auto" w:fill="A5A5A5" w:themeFill="background1" w:themeFillShade="A6"/>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仿宋" w:hAnsi="仿宋" w:eastAsia="仿宋" w:cs="Times New Roman"/>
                <w:b/>
                <w:color w:val="000000" w:themeColor="text1"/>
                <w:sz w:val="24"/>
                <w:szCs w:val="24"/>
              </w:rPr>
            </w:pPr>
            <w:r>
              <w:rPr>
                <w:rFonts w:hint="eastAsia" w:ascii="仿宋" w:hAnsi="仿宋" w:eastAsia="仿宋" w:cs="Times New Roman"/>
                <w:b/>
                <w:color w:val="000000" w:themeColor="text1"/>
                <w:sz w:val="24"/>
                <w:szCs w:val="24"/>
              </w:rPr>
              <w:t>专栏-5  毛绒玩具文创产业招商任务表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snapToGrid/>
              <w:spacing w:line="300" w:lineRule="exact"/>
              <w:ind w:firstLine="482" w:firstLineChars="200"/>
              <w:textAlignment w:val="auto"/>
              <w:rPr>
                <w:rFonts w:ascii="仿宋" w:hAnsi="仿宋" w:eastAsia="仿宋" w:cs="Times New Roman"/>
                <w:color w:val="000000" w:themeColor="text1"/>
                <w:sz w:val="24"/>
                <w:szCs w:val="24"/>
              </w:rPr>
            </w:pPr>
            <w:r>
              <w:rPr>
                <w:rFonts w:hint="eastAsia" w:ascii="仿宋" w:hAnsi="仿宋" w:eastAsia="仿宋" w:cs="Times New Roman"/>
                <w:b/>
                <w:color w:val="000000" w:themeColor="text1"/>
                <w:sz w:val="24"/>
                <w:szCs w:val="24"/>
              </w:rPr>
              <w:t>2019年招商任务：</w:t>
            </w:r>
            <w:r>
              <w:rPr>
                <w:rFonts w:hint="eastAsia" w:ascii="仿宋" w:hAnsi="仿宋" w:eastAsia="仿宋" w:cs="Times New Roman"/>
                <w:color w:val="000000" w:themeColor="text1"/>
                <w:sz w:val="24"/>
                <w:szCs w:val="24"/>
              </w:rPr>
              <w:t>全市引进和培育毛绒玩具文创企业80家，</w:t>
            </w:r>
          </w:p>
          <w:p>
            <w:pPr>
              <w:keepNext w:val="0"/>
              <w:keepLines w:val="0"/>
              <w:pageBreakBefore w:val="0"/>
              <w:widowControl w:val="0"/>
              <w:kinsoku/>
              <w:wordWrap/>
              <w:overflowPunct/>
              <w:topLinePunct w:val="0"/>
              <w:autoSpaceDE/>
              <w:autoSpaceDN/>
              <w:bidi w:val="0"/>
              <w:adjustRightInd/>
              <w:snapToGrid/>
              <w:spacing w:line="300" w:lineRule="exact"/>
              <w:ind w:firstLine="480" w:firstLineChars="200"/>
              <w:textAlignment w:val="auto"/>
              <w:rPr>
                <w:rFonts w:ascii="仿宋" w:hAnsi="仿宋" w:eastAsia="仿宋" w:cs="Times New Roman"/>
                <w:color w:val="000000" w:themeColor="text1"/>
                <w:sz w:val="24"/>
                <w:szCs w:val="24"/>
              </w:rPr>
            </w:pPr>
            <w:r>
              <w:rPr>
                <w:rFonts w:hint="eastAsia" w:ascii="仿宋" w:hAnsi="仿宋" w:eastAsia="仿宋" w:cs="Times New Roman"/>
                <w:color w:val="000000" w:themeColor="text1"/>
                <w:sz w:val="24"/>
                <w:szCs w:val="24"/>
              </w:rPr>
              <w:t>其中：规模以上企业10家，玩具生产企业70家，原辅料企业4家，电子器件企业2家，流通加工及服务企业2家，签约毛绒玩具设计公司（或事务所）2家。</w:t>
            </w:r>
          </w:p>
          <w:p>
            <w:pPr>
              <w:keepNext w:val="0"/>
              <w:keepLines w:val="0"/>
              <w:pageBreakBefore w:val="0"/>
              <w:widowControl w:val="0"/>
              <w:kinsoku/>
              <w:wordWrap/>
              <w:overflowPunct/>
              <w:topLinePunct w:val="0"/>
              <w:autoSpaceDE/>
              <w:autoSpaceDN/>
              <w:bidi w:val="0"/>
              <w:adjustRightInd/>
              <w:snapToGrid/>
              <w:spacing w:line="300" w:lineRule="exact"/>
              <w:ind w:firstLine="480"/>
              <w:textAlignment w:val="auto"/>
              <w:rPr>
                <w:rFonts w:hint="eastAsia" w:ascii="仿宋" w:hAnsi="仿宋" w:eastAsia="仿宋" w:cs="Times New Roman"/>
                <w:color w:val="000000" w:themeColor="text1"/>
                <w:sz w:val="24"/>
                <w:szCs w:val="24"/>
              </w:rPr>
            </w:pPr>
            <w:r>
              <w:rPr>
                <w:rFonts w:hint="eastAsia" w:ascii="仿宋" w:hAnsi="仿宋" w:eastAsia="仿宋" w:cs="Times New Roman"/>
                <w:b/>
                <w:color w:val="000000" w:themeColor="text1"/>
                <w:sz w:val="24"/>
                <w:szCs w:val="24"/>
              </w:rPr>
              <w:t>2022年招商任务：</w:t>
            </w:r>
            <w:r>
              <w:rPr>
                <w:rFonts w:hint="eastAsia" w:ascii="仿宋" w:hAnsi="仿宋" w:eastAsia="仿宋" w:cs="Times New Roman"/>
                <w:color w:val="000000" w:themeColor="text1"/>
                <w:sz w:val="24"/>
                <w:szCs w:val="24"/>
              </w:rPr>
              <w:t>全市引进和培育毛绒玩具文创企业300家，</w:t>
            </w:r>
            <w:r>
              <w:rPr>
                <w:rFonts w:hint="eastAsia" w:ascii="仿宋" w:hAnsi="仿宋" w:eastAsia="仿宋" w:cs="Times New Roman"/>
                <w:color w:val="000000" w:themeColor="text1"/>
                <w:sz w:val="24"/>
                <w:szCs w:val="24"/>
                <w:lang w:eastAsia="zh-CN"/>
              </w:rPr>
              <w:t>毛绒玩具行业全国</w:t>
            </w:r>
            <w:r>
              <w:rPr>
                <w:rFonts w:hint="eastAsia" w:ascii="仿宋" w:hAnsi="仿宋" w:eastAsia="仿宋" w:cs="Times New Roman"/>
                <w:color w:val="000000" w:themeColor="text1"/>
                <w:sz w:val="24"/>
                <w:szCs w:val="24"/>
                <w:lang w:val="en-US" w:eastAsia="zh-CN"/>
              </w:rPr>
              <w:t>20强企业</w:t>
            </w:r>
            <w:r>
              <w:rPr>
                <w:rFonts w:hint="eastAsia" w:ascii="仿宋" w:hAnsi="仿宋" w:eastAsia="仿宋" w:cs="Times New Roman"/>
                <w:color w:val="000000" w:themeColor="text1"/>
                <w:sz w:val="24"/>
                <w:szCs w:val="24"/>
              </w:rPr>
              <w:t>落户</w:t>
            </w:r>
            <w:r>
              <w:rPr>
                <w:rFonts w:hint="eastAsia" w:ascii="仿宋" w:hAnsi="仿宋" w:eastAsia="仿宋" w:cs="Times New Roman"/>
                <w:color w:val="000000" w:themeColor="text1"/>
                <w:sz w:val="24"/>
                <w:szCs w:val="24"/>
                <w:lang w:eastAsia="zh-CN"/>
              </w:rPr>
              <w:t>安康</w:t>
            </w:r>
            <w:r>
              <w:rPr>
                <w:rFonts w:hint="eastAsia" w:ascii="仿宋" w:hAnsi="仿宋" w:eastAsia="仿宋" w:cs="Times New Roman"/>
                <w:color w:val="000000" w:themeColor="text1"/>
                <w:sz w:val="24"/>
                <w:szCs w:val="24"/>
              </w:rPr>
              <w:t>。</w:t>
            </w:r>
          </w:p>
          <w:p>
            <w:pPr>
              <w:keepNext w:val="0"/>
              <w:keepLines w:val="0"/>
              <w:pageBreakBefore w:val="0"/>
              <w:widowControl w:val="0"/>
              <w:kinsoku/>
              <w:wordWrap/>
              <w:overflowPunct/>
              <w:topLinePunct w:val="0"/>
              <w:autoSpaceDE/>
              <w:autoSpaceDN/>
              <w:bidi w:val="0"/>
              <w:adjustRightInd/>
              <w:snapToGrid/>
              <w:spacing w:line="300" w:lineRule="exact"/>
              <w:ind w:firstLine="480"/>
              <w:textAlignment w:val="auto"/>
              <w:rPr>
                <w:rFonts w:ascii="仿宋" w:hAnsi="仿宋" w:eastAsia="仿宋" w:cs="Times New Roman"/>
                <w:color w:val="000000" w:themeColor="text1"/>
                <w:sz w:val="24"/>
                <w:szCs w:val="24"/>
              </w:rPr>
            </w:pPr>
            <w:r>
              <w:rPr>
                <w:rFonts w:hint="eastAsia" w:ascii="仿宋" w:hAnsi="仿宋" w:eastAsia="仿宋" w:cs="Times New Roman"/>
                <w:color w:val="000000" w:themeColor="text1"/>
                <w:sz w:val="24"/>
                <w:szCs w:val="24"/>
              </w:rPr>
              <w:t>其中：产值过1亿企业5家，规模以上企业30家。</w:t>
            </w:r>
          </w:p>
          <w:p>
            <w:pPr>
              <w:keepNext w:val="0"/>
              <w:keepLines w:val="0"/>
              <w:pageBreakBefore w:val="0"/>
              <w:widowControl w:val="0"/>
              <w:kinsoku/>
              <w:wordWrap/>
              <w:overflowPunct/>
              <w:topLinePunct w:val="0"/>
              <w:autoSpaceDE/>
              <w:autoSpaceDN/>
              <w:bidi w:val="0"/>
              <w:adjustRightInd/>
              <w:snapToGrid/>
              <w:spacing w:after="156" w:afterLines="50" w:line="300" w:lineRule="exact"/>
              <w:textAlignment w:val="auto"/>
              <w:rPr>
                <w:rFonts w:ascii="仿宋" w:hAnsi="仿宋" w:eastAsia="仿宋" w:cs="Times New Roman"/>
                <w:color w:val="000000" w:themeColor="text1"/>
                <w:sz w:val="24"/>
                <w:szCs w:val="24"/>
              </w:rPr>
            </w:pPr>
            <w:r>
              <w:rPr>
                <w:rFonts w:hint="eastAsia" w:ascii="仿宋" w:hAnsi="仿宋" w:eastAsia="仿宋" w:cs="Times New Roman"/>
                <w:color w:val="000000" w:themeColor="text1"/>
                <w:sz w:val="24"/>
                <w:szCs w:val="24"/>
              </w:rPr>
              <w:t xml:space="preserve">    </w:t>
            </w:r>
            <w:r>
              <w:rPr>
                <w:rFonts w:hint="eastAsia" w:ascii="仿宋" w:hAnsi="仿宋" w:eastAsia="仿宋" w:cs="Times New Roman"/>
                <w:b/>
                <w:color w:val="000000" w:themeColor="text1"/>
                <w:sz w:val="24"/>
                <w:szCs w:val="24"/>
              </w:rPr>
              <w:t>2025年招商任务：</w:t>
            </w:r>
            <w:r>
              <w:rPr>
                <w:rFonts w:hint="eastAsia" w:ascii="仿宋" w:hAnsi="仿宋" w:eastAsia="仿宋" w:cs="Times New Roman"/>
                <w:color w:val="000000" w:themeColor="text1"/>
                <w:sz w:val="24"/>
                <w:szCs w:val="24"/>
              </w:rPr>
              <w:t>全市引进和培育毛绒玩具文创企业400家，产值1亿以上的企业8家，规模以上企业50家，实现毛绒玩具全产业链产值过100亿。</w:t>
            </w:r>
          </w:p>
        </w:tc>
      </w:tr>
      <w:bookmarkEnd w:id="82"/>
    </w:tbl>
    <w:p>
      <w:pPr>
        <w:pStyle w:val="3"/>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楷体_GB2312" w:hAnsi="楷体_GB2312" w:eastAsia="楷体_GB2312" w:cs="楷体_GB2312"/>
          <w:b/>
          <w:bCs w:val="0"/>
          <w:color w:val="000000" w:themeColor="text1"/>
        </w:rPr>
      </w:pPr>
      <w:bookmarkStart w:id="123" w:name="_GoBack"/>
      <w:bookmarkEnd w:id="123"/>
      <w:bookmarkStart w:id="90" w:name="_Toc18287640"/>
      <w:bookmarkStart w:id="91" w:name="_Toc7081006"/>
      <w:bookmarkStart w:id="92" w:name="_Toc12454028"/>
      <w:r>
        <w:rPr>
          <w:rFonts w:hint="eastAsia" w:ascii="楷体_GB2312" w:hAnsi="楷体_GB2312" w:eastAsia="楷体_GB2312" w:cs="楷体_GB2312"/>
          <w:b/>
          <w:bCs w:val="0"/>
          <w:color w:val="000000" w:themeColor="text1"/>
        </w:rPr>
        <w:t>（四）文化创意提升行动</w:t>
      </w:r>
      <w:bookmarkEnd w:id="90"/>
    </w:p>
    <w:p>
      <w:pPr>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b/>
          <w:bCs/>
          <w:color w:val="000000" w:themeColor="text1"/>
          <w:sz w:val="32"/>
          <w:szCs w:val="32"/>
          <w:shd w:val="clear" w:color="auto" w:fill="FFFFFF"/>
        </w:rPr>
        <w:t>——培育和吸引优秀设计主体。</w:t>
      </w:r>
      <w:r>
        <w:rPr>
          <w:rFonts w:hint="eastAsia" w:ascii="仿宋_GB2312" w:hAnsi="仿宋_GB2312" w:eastAsia="仿宋_GB2312" w:cs="仿宋_GB2312"/>
          <w:color w:val="000000" w:themeColor="text1"/>
          <w:sz w:val="32"/>
          <w:szCs w:val="32"/>
          <w:shd w:val="clear" w:color="auto" w:fill="FFFFFF"/>
        </w:rPr>
        <w:t>支持毛绒玩具龙头企业设立创意设计坊，开展玩具造型设计、产品包装设计、品牌形象设计、营销策划设计、衍生品设计。吸引国内外一流的玩具设计企业和文化创意设计机构来安康设立设计中心或分支机构，重点围绕毛绒文化和安康特色开展创意设计。扶持市内设计机构成长壮大，提高国际国内知名度。激发中小微企业、设计工作室和个人设计师的创意活力，支持中小微设计企业在毛绒玩具领域做专做精。吸引高端设计人才落户安康，鼓励联合开展项目研究与人才交流。鼓励和支持公民及法人以设计类知识产权作价出资创办企业。</w:t>
      </w:r>
    </w:p>
    <w:p>
      <w:pPr>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b/>
          <w:bCs/>
          <w:color w:val="000000" w:themeColor="text1"/>
          <w:sz w:val="32"/>
          <w:szCs w:val="32"/>
          <w:shd w:val="clear" w:color="auto" w:fill="FFFFFF"/>
        </w:rPr>
        <w:t>——搭建文创创新平台。</w:t>
      </w:r>
      <w:r>
        <w:rPr>
          <w:rFonts w:hint="eastAsia" w:ascii="仿宋_GB2312" w:hAnsi="仿宋_GB2312" w:eastAsia="仿宋_GB2312" w:cs="仿宋_GB2312"/>
          <w:color w:val="000000" w:themeColor="text1"/>
          <w:sz w:val="32"/>
          <w:szCs w:val="32"/>
          <w:shd w:val="clear" w:color="auto" w:fill="FFFFFF"/>
        </w:rPr>
        <w:t>构建公共支撑体系，提升对毛绒玩具形象创作、素材资源库管理、产品交易、衍生品发行与版权保护的服务能力和服务水平。建立设计资源共享平台，为设计创新提供仪器设备、科学数据、软件程序、检验检测、快速制造等公共服务，促进设计成果交流、转化和产业化。鼓励建立毛绒玩具文创产创新联盟，推动生产企业、设计机构、高等院校根据产业联系，实施跨产业链、跨地区、跨行业、跨所有制业务合作，打造跨界融合的产业创新联盟。开展一批毛绒玩具文创产业提升的示范项目，鼓励有条件的龙头骨干企业建立设计创新中心，对符合条件的中心予以认定，引导社会资金加大投入。</w:t>
      </w:r>
    </w:p>
    <w:p>
      <w:pPr>
        <w:pageBreakBefore w:val="0"/>
        <w:kinsoku/>
        <w:wordWrap/>
        <w:overflowPunct/>
        <w:topLinePunct w:val="0"/>
        <w:autoSpaceDE/>
        <w:autoSpaceDN/>
        <w:bidi w:val="0"/>
        <w:adjustRightInd/>
        <w:snapToGrid/>
        <w:spacing w:line="560" w:lineRule="exact"/>
        <w:ind w:firstLine="643" w:firstLineChars="200"/>
        <w:jc w:val="both"/>
        <w:textAlignment w:val="auto"/>
        <w:rPr>
          <w:rFonts w:ascii="仿宋" w:hAnsi="仿宋" w:eastAsia="仿宋" w:cs="Times New Roman"/>
          <w:bCs/>
          <w:color w:val="000000" w:themeColor="text1"/>
          <w:sz w:val="32"/>
          <w:szCs w:val="32"/>
          <w:shd w:val="clear" w:color="auto" w:fill="FFFFFF"/>
        </w:rPr>
      </w:pPr>
      <w:r>
        <w:rPr>
          <w:rFonts w:hint="eastAsia" w:ascii="仿宋_GB2312" w:hAnsi="仿宋_GB2312" w:eastAsia="仿宋_GB2312" w:cs="仿宋_GB2312"/>
          <w:b/>
          <w:bCs/>
          <w:color w:val="000000" w:themeColor="text1"/>
          <w:sz w:val="32"/>
          <w:szCs w:val="32"/>
          <w:shd w:val="clear" w:color="auto" w:fill="FFFFFF"/>
        </w:rPr>
        <w:t>——加强文创设计教育培训。</w:t>
      </w:r>
      <w:r>
        <w:rPr>
          <w:rFonts w:hint="eastAsia" w:ascii="仿宋_GB2312" w:hAnsi="仿宋_GB2312" w:eastAsia="仿宋_GB2312" w:cs="仿宋_GB2312"/>
          <w:color w:val="000000" w:themeColor="text1"/>
          <w:sz w:val="32"/>
          <w:szCs w:val="32"/>
          <w:shd w:val="clear" w:color="auto" w:fill="FFFFFF"/>
        </w:rPr>
        <w:t>支持毛绒玩具行业协会、龙头企业充分利用所属资源，加强与国内外著名设计专业院校的交流合作，建立创意设计高校教育实训基地，加强毛绒玩具文创人才联合培养，推动创意设计理论教育和实践培训相结合。完善毛绒玩具文创设计人才的再教育机制，支持毛绒玩具文创设计劳动技能培训机构的发展，不断提升设计人才的专业技能和专业素养。建立健全毛绒玩具文创设计专业技术人员职业资格认定制度。</w:t>
      </w:r>
    </w:p>
    <w:p>
      <w:pPr>
        <w:pStyle w:val="3"/>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楷体_GB2312" w:hAnsi="楷体_GB2312" w:eastAsia="楷体_GB2312" w:cs="楷体_GB2312"/>
          <w:b/>
          <w:bCs w:val="0"/>
          <w:color w:val="000000" w:themeColor="text1"/>
        </w:rPr>
      </w:pPr>
      <w:bookmarkStart w:id="93" w:name="_Toc18287641"/>
      <w:r>
        <w:rPr>
          <w:rFonts w:hint="eastAsia" w:ascii="楷体_GB2312" w:hAnsi="楷体_GB2312" w:eastAsia="楷体_GB2312" w:cs="楷体_GB2312"/>
          <w:b/>
          <w:bCs w:val="0"/>
          <w:color w:val="000000" w:themeColor="text1"/>
        </w:rPr>
        <w:t>（五）自主品牌建设行动</w:t>
      </w:r>
      <w:bookmarkEnd w:id="93"/>
    </w:p>
    <w:p>
      <w:pPr>
        <w:pageBreakBefore w:val="0"/>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color w:val="000000" w:themeColor="text1"/>
          <w:sz w:val="32"/>
          <w:szCs w:val="32"/>
          <w:shd w:val="clear" w:color="auto" w:fill="FFFFFF"/>
        </w:rPr>
        <w:t>以毛绒玩具文创产业为中心，进行全产业链、全方位、立体化开发，用1-2年时间打响安康毛绒玩具地域品牌在国内的知名度，用3-5年时间建设若干有国内外影响力的安康毛绒玩具自主品牌。</w:t>
      </w:r>
    </w:p>
    <w:p>
      <w:pPr>
        <w:pageBreakBefore w:val="0"/>
        <w:kinsoku/>
        <w:wordWrap/>
        <w:overflowPunct/>
        <w:topLinePunct w:val="0"/>
        <w:autoSpaceDE/>
        <w:autoSpaceDN/>
        <w:bidi w:val="0"/>
        <w:adjustRightInd/>
        <w:snapToGrid/>
        <w:spacing w:line="560" w:lineRule="exact"/>
        <w:ind w:firstLine="643" w:firstLineChars="200"/>
        <w:jc w:val="both"/>
        <w:textAlignment w:val="auto"/>
        <w:rPr>
          <w:rFonts w:ascii="仿宋" w:hAnsi="仿宋" w:eastAsia="仿宋" w:cs="Times New Roman"/>
          <w:bCs/>
          <w:color w:val="000000" w:themeColor="text1"/>
          <w:sz w:val="32"/>
          <w:szCs w:val="32"/>
          <w:shd w:val="clear" w:color="auto" w:fill="FFFFFF"/>
        </w:rPr>
      </w:pPr>
      <w:r>
        <w:rPr>
          <w:rFonts w:hint="eastAsia" w:ascii="仿宋_GB2312" w:hAnsi="仿宋_GB2312" w:eastAsia="仿宋_GB2312" w:cs="仿宋_GB2312"/>
          <w:b/>
          <w:bCs/>
          <w:color w:val="000000" w:themeColor="text1"/>
          <w:sz w:val="32"/>
          <w:szCs w:val="32"/>
          <w:shd w:val="clear" w:color="auto" w:fill="FFFFFF"/>
        </w:rPr>
        <w:t>——地域品牌特色营销。</w:t>
      </w:r>
      <w:r>
        <w:rPr>
          <w:rFonts w:hint="eastAsia" w:ascii="仿宋_GB2312" w:hAnsi="仿宋_GB2312" w:eastAsia="仿宋_GB2312" w:cs="仿宋_GB2312"/>
          <w:color w:val="000000" w:themeColor="text1"/>
          <w:sz w:val="32"/>
          <w:szCs w:val="32"/>
          <w:shd w:val="clear" w:color="auto" w:fill="FFFFFF"/>
        </w:rPr>
        <w:t>支持举办每年一度的“毛绒玩具设计大赛和毛绒玩具高峰论坛”，并对大赛及优秀作品进行宣传推广，打响安康“中国毛绒玩具文创新都”地域品牌。支持相关部门系统策划并制作宣传内容，利用新兴网络渠道、平面杂志、传统媒体进行安康毛绒玩具产业品牌营销。支持相关部门利用网络旅游平台进行“毛绒玩具+旅游”的安康品牌推介。支持相关部门对接国内重点婴童生产企业或产区进行“毛绒玩具+婴童陪伴+教育”的安康品牌营销。</w:t>
      </w:r>
    </w:p>
    <w:p>
      <w:pPr>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b/>
          <w:bCs/>
          <w:color w:val="000000" w:themeColor="text1"/>
          <w:sz w:val="32"/>
          <w:szCs w:val="32"/>
          <w:shd w:val="clear" w:color="auto" w:fill="FFFFFF"/>
        </w:rPr>
        <w:t>——争取国内外著名动漫形象使用授权。</w:t>
      </w:r>
      <w:r>
        <w:rPr>
          <w:rFonts w:hint="eastAsia" w:ascii="仿宋_GB2312" w:hAnsi="仿宋_GB2312" w:eastAsia="仿宋_GB2312" w:cs="仿宋_GB2312"/>
          <w:color w:val="000000" w:themeColor="text1"/>
          <w:sz w:val="32"/>
          <w:szCs w:val="32"/>
          <w:shd w:val="clear" w:color="auto" w:fill="FFFFFF"/>
        </w:rPr>
        <w:t>支持重点毛绒玩具企业与相关部门对接国内外著名动漫、电影公司（皮克斯、迪士尼、梦工厂、华纳兄弟，上美影、江苏原力等），获得品牌使用授权。对已获授权并在安康地区进行生产的毛绒玩具企业及所在县区给予一定奖励。</w:t>
      </w:r>
    </w:p>
    <w:p>
      <w:pPr>
        <w:pageBreakBefore w:val="0"/>
        <w:kinsoku/>
        <w:wordWrap/>
        <w:overflowPunct/>
        <w:topLinePunct w:val="0"/>
        <w:autoSpaceDE/>
        <w:autoSpaceDN/>
        <w:bidi w:val="0"/>
        <w:adjustRightInd/>
        <w:snapToGrid/>
        <w:spacing w:line="560" w:lineRule="exact"/>
        <w:ind w:firstLine="643" w:firstLineChars="200"/>
        <w:jc w:val="both"/>
        <w:textAlignment w:val="auto"/>
        <w:rPr>
          <w:rFonts w:ascii="仿宋" w:hAnsi="仿宋" w:eastAsia="仿宋" w:cs="Times New Roman"/>
          <w:color w:val="000000" w:themeColor="text1"/>
          <w:sz w:val="32"/>
          <w:szCs w:val="32"/>
          <w:shd w:val="clear" w:color="auto" w:fill="FFFFFF"/>
        </w:rPr>
      </w:pPr>
      <w:r>
        <w:rPr>
          <w:rFonts w:hint="eastAsia" w:ascii="仿宋_GB2312" w:hAnsi="仿宋_GB2312" w:eastAsia="仿宋_GB2312" w:cs="仿宋_GB2312"/>
          <w:b/>
          <w:bCs/>
          <w:color w:val="000000" w:themeColor="text1"/>
          <w:sz w:val="32"/>
          <w:szCs w:val="32"/>
          <w:shd w:val="clear" w:color="auto" w:fill="FFFFFF"/>
        </w:rPr>
        <w:t>——安康自主IP开发。</w:t>
      </w:r>
      <w:r>
        <w:rPr>
          <w:rFonts w:hint="eastAsia" w:ascii="仿宋_GB2312" w:hAnsi="仿宋_GB2312" w:eastAsia="仿宋_GB2312" w:cs="仿宋_GB2312"/>
          <w:color w:val="000000" w:themeColor="text1"/>
          <w:sz w:val="32"/>
          <w:szCs w:val="32"/>
          <w:shd w:val="clear" w:color="auto" w:fill="FFFFFF"/>
        </w:rPr>
        <w:t>引导重点毛绒玩具企业及研究机构深入挖掘安康市，乃至陕西省、秦巴地区的传统文化基因。支持毛绒玩具企业与安康市域及周边知名博物馆（安康博物馆、陕西历史博物馆、秦始皇帝陵博物馆等）、知名旅游景点（瀛湖、大唐不夜城、钟鼓楼等）、知名设计院所联合进行特色IP开发，并注册知识产权。对在安康市开发并注册的知识产权进行奖励。</w:t>
      </w:r>
    </w:p>
    <w:p>
      <w:pPr>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b/>
          <w:bCs/>
          <w:color w:val="000000" w:themeColor="text1"/>
          <w:sz w:val="32"/>
          <w:szCs w:val="32"/>
          <w:shd w:val="clear" w:color="auto" w:fill="FFFFFF"/>
        </w:rPr>
        <w:t>——安康资源禀赋深度开发。</w:t>
      </w:r>
      <w:r>
        <w:rPr>
          <w:rFonts w:hint="eastAsia" w:ascii="仿宋_GB2312" w:hAnsi="仿宋_GB2312" w:eastAsia="仿宋_GB2312" w:cs="仿宋_GB2312"/>
          <w:color w:val="000000" w:themeColor="text1"/>
          <w:sz w:val="32"/>
          <w:szCs w:val="32"/>
          <w:shd w:val="clear" w:color="auto" w:fill="FFFFFF"/>
        </w:rPr>
        <w:t>通过研究项目等形式，支持县区、重点毛绒玩具企业及科研机构研究利用安康在富硒、水电等方面的资源优势，在桑蚕、毛竹等方面的原料优势，研发毛绒玩具新材料、新品种，进行特色玩具开发及特色商业形态开发。对确有成效的县区、企业或机构给予奖励。</w:t>
      </w:r>
    </w:p>
    <w:p>
      <w:pPr>
        <w:pStyle w:val="3"/>
        <w:pageBreakBefore w:val="0"/>
        <w:widowControl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楷体_GB2312" w:hAnsi="楷体_GB2312" w:eastAsia="楷体_GB2312" w:cs="楷体_GB2312"/>
          <w:b/>
          <w:bCs w:val="0"/>
          <w:color w:val="000000" w:themeColor="text1"/>
        </w:rPr>
      </w:pPr>
      <w:bookmarkStart w:id="94" w:name="_Toc18287642"/>
      <w:r>
        <w:rPr>
          <w:rFonts w:hint="eastAsia" w:ascii="楷体_GB2312" w:hAnsi="楷体_GB2312" w:eastAsia="楷体_GB2312" w:cs="楷体_GB2312"/>
          <w:b/>
          <w:bCs w:val="0"/>
          <w:color w:val="000000" w:themeColor="text1"/>
        </w:rPr>
        <w:t>（六）“五大中心”建设行动</w:t>
      </w:r>
      <w:bookmarkEnd w:id="94"/>
    </w:p>
    <w:p>
      <w:pPr>
        <w:pageBreakBefore w:val="0"/>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color w:val="000000" w:themeColor="text1"/>
          <w:sz w:val="32"/>
          <w:szCs w:val="32"/>
          <w:shd w:val="clear" w:color="auto" w:fill="FFFFFF"/>
        </w:rPr>
        <w:t>依托恒口示范区，启动实施“五大中心”项目建设工程。化解毛绒玩具产业初期遇到的原辅料、物流、商贸、研发等难题，助推安康毛绒玩具产品由低档产品生产向附加值较高的特色产品和品牌生产转化。</w:t>
      </w:r>
    </w:p>
    <w:p>
      <w:pPr>
        <w:pageBreakBefore w:val="0"/>
        <w:kinsoku/>
        <w:wordWrap/>
        <w:overflowPunct/>
        <w:topLinePunct w:val="0"/>
        <w:autoSpaceDE/>
        <w:autoSpaceDN/>
        <w:bidi w:val="0"/>
        <w:adjustRightInd/>
        <w:snapToGrid/>
        <w:spacing w:line="560" w:lineRule="exact"/>
        <w:ind w:firstLine="640"/>
        <w:jc w:val="both"/>
        <w:textAlignment w:val="auto"/>
        <w:rPr>
          <w:rFonts w:ascii="仿宋_GB2312" w:eastAsia="仿宋_GB2312"/>
          <w:color w:val="000000" w:themeColor="text1"/>
          <w:sz w:val="32"/>
          <w:szCs w:val="32"/>
        </w:rPr>
      </w:pPr>
      <w:r>
        <w:rPr>
          <w:rFonts w:hint="eastAsia" w:ascii="仿宋_GB2312" w:hAnsi="仿宋_GB2312" w:eastAsia="仿宋_GB2312" w:cs="仿宋_GB2312"/>
          <w:b/>
          <w:bCs/>
          <w:color w:val="000000" w:themeColor="text1"/>
          <w:sz w:val="32"/>
          <w:szCs w:val="32"/>
          <w:shd w:val="clear" w:color="auto" w:fill="FFFFFF"/>
        </w:rPr>
        <w:t>——毛绒玩具原辅料批发中心。</w:t>
      </w:r>
      <w:r>
        <w:rPr>
          <w:rFonts w:hint="eastAsia" w:ascii="仿宋_GB2312" w:hAnsi="仿宋_GB2312" w:eastAsia="仿宋_GB2312" w:cs="仿宋_GB2312"/>
          <w:color w:val="000000" w:themeColor="text1"/>
          <w:sz w:val="32"/>
          <w:szCs w:val="32"/>
          <w:shd w:val="clear" w:color="auto" w:fill="FFFFFF"/>
        </w:rPr>
        <w:t>梳理安康市内玩具企业的多元化需求，精准对接江苏、浙江、广东等地的毛绒玩具面料和辅料生产企业，汇集多方货源，建设集毛绒玩具面料、PP棉、电子器件等原料仓储、展示、销售于一体的毛绒玩具原料批发中心。中心以标准化厂房、批零配售库房和公共配套设施建设为重点，以专项引导资金和优惠政策为杠杆，吸引毛绒玩具原辅料企业入驻。构建企业孵化机制，建立若干原辅材料研发与展示、分析测试、设计加工等专业化公共技术服务平台，形成毛绒玩具原辅材</w:t>
      </w:r>
      <w:r>
        <w:rPr>
          <w:rFonts w:hint="eastAsia" w:ascii="仿宋" w:hAnsi="仿宋" w:eastAsia="仿宋" w:cs="Times New Roman"/>
          <w:bCs/>
          <w:color w:val="000000" w:themeColor="text1"/>
          <w:sz w:val="32"/>
          <w:szCs w:val="32"/>
          <w:shd w:val="clear" w:color="auto" w:fill="FFFFFF"/>
        </w:rPr>
        <w:t>料加工、运营</w:t>
      </w:r>
      <w:r>
        <w:rPr>
          <w:rFonts w:hint="eastAsia" w:ascii="仿宋_GB2312" w:eastAsia="仿宋_GB2312"/>
          <w:color w:val="000000" w:themeColor="text1"/>
          <w:sz w:val="32"/>
          <w:szCs w:val="32"/>
        </w:rPr>
        <w:t>和服务体系及模式。</w:t>
      </w:r>
    </w:p>
    <w:p>
      <w:pPr>
        <w:pageBreakBefore w:val="0"/>
        <w:kinsoku/>
        <w:wordWrap/>
        <w:overflowPunct/>
        <w:topLinePunct w:val="0"/>
        <w:autoSpaceDE/>
        <w:autoSpaceDN/>
        <w:bidi w:val="0"/>
        <w:adjustRightInd/>
        <w:snapToGrid/>
        <w:spacing w:line="560" w:lineRule="exact"/>
        <w:ind w:firstLine="643" w:firstLineChars="200"/>
        <w:jc w:val="both"/>
        <w:textAlignment w:val="auto"/>
        <w:rPr>
          <w:rFonts w:ascii="仿宋" w:hAnsi="仿宋" w:eastAsia="仿宋" w:cs="Times New Roman"/>
          <w:bCs/>
          <w:color w:val="000000" w:themeColor="text1"/>
          <w:sz w:val="32"/>
          <w:szCs w:val="32"/>
          <w:shd w:val="clear" w:color="auto" w:fill="FFFFFF"/>
        </w:rPr>
      </w:pPr>
      <w:r>
        <w:rPr>
          <w:rFonts w:hint="eastAsia" w:ascii="仿宋_GB2312" w:hAnsi="仿宋_GB2312" w:eastAsia="仿宋_GB2312" w:cs="仿宋_GB2312"/>
          <w:b/>
          <w:bCs/>
          <w:color w:val="000000" w:themeColor="text1"/>
          <w:sz w:val="32"/>
          <w:szCs w:val="32"/>
          <w:shd w:val="clear" w:color="auto" w:fill="FFFFFF"/>
        </w:rPr>
        <w:t>——毛绒玩具创意设计中心。</w:t>
      </w:r>
      <w:r>
        <w:rPr>
          <w:rFonts w:hint="eastAsia" w:ascii="仿宋_GB2312" w:hAnsi="仿宋_GB2312" w:eastAsia="仿宋_GB2312" w:cs="仿宋_GB2312"/>
          <w:color w:val="000000" w:themeColor="text1"/>
          <w:sz w:val="32"/>
          <w:szCs w:val="32"/>
          <w:shd w:val="clear" w:color="auto" w:fill="FFFFFF"/>
        </w:rPr>
        <w:t>支持各县区依托重点毛绒玩具企业，认定并挂牌一批企业级毛绒玩具创意设计基地，推动毛绒玩具的创意、设计和研发，加强知识产权申请和保护。进一步依托恒口示范区，建设毛绒玩具创意设计平台，跟踪对接国际需求，加强智能玩具的研究与开发，为毛绒玩具新品开发和品质提升提供技术、服务、法律法规和管理支持。</w:t>
      </w:r>
    </w:p>
    <w:p>
      <w:pPr>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b/>
          <w:bCs/>
          <w:color w:val="000000" w:themeColor="text1"/>
          <w:sz w:val="32"/>
          <w:szCs w:val="32"/>
          <w:shd w:val="clear" w:color="auto" w:fill="FFFFFF"/>
        </w:rPr>
        <w:t>——毛绒玩具电商运营中心。</w:t>
      </w:r>
      <w:r>
        <w:rPr>
          <w:rFonts w:hint="eastAsia" w:ascii="仿宋_GB2312" w:hAnsi="仿宋_GB2312" w:eastAsia="仿宋_GB2312" w:cs="仿宋_GB2312"/>
          <w:color w:val="000000" w:themeColor="text1"/>
          <w:sz w:val="32"/>
          <w:szCs w:val="32"/>
          <w:shd w:val="clear" w:color="auto" w:fill="FFFFFF"/>
        </w:rPr>
        <w:t>依托国内成熟的电子商务服务模式，以“互联网+”为抓手，重点发展B2B、B2C等营销模式，为毛绒玩具文创企业构建电子商务平台，提升安康毛绒玩具品牌价值，提高安康毛绒玩具品牌的知名度和美誉度。</w:t>
      </w:r>
    </w:p>
    <w:p>
      <w:pPr>
        <w:pageBreakBefore w:val="0"/>
        <w:kinsoku/>
        <w:wordWrap/>
        <w:overflowPunct/>
        <w:topLinePunct w:val="0"/>
        <w:autoSpaceDE/>
        <w:autoSpaceDN/>
        <w:bidi w:val="0"/>
        <w:adjustRightInd/>
        <w:snapToGrid/>
        <w:spacing w:line="560" w:lineRule="exact"/>
        <w:ind w:firstLine="643" w:firstLineChars="200"/>
        <w:jc w:val="both"/>
        <w:textAlignment w:val="auto"/>
        <w:rPr>
          <w:rFonts w:ascii="仿宋" w:hAnsi="仿宋" w:eastAsia="仿宋" w:cs="Times New Roman"/>
          <w:bCs/>
          <w:color w:val="000000" w:themeColor="text1"/>
          <w:sz w:val="32"/>
          <w:szCs w:val="32"/>
          <w:shd w:val="clear" w:color="auto" w:fill="FFFFFF"/>
        </w:rPr>
      </w:pPr>
      <w:r>
        <w:rPr>
          <w:rFonts w:hint="eastAsia" w:ascii="仿宋_GB2312" w:hAnsi="仿宋_GB2312" w:eastAsia="仿宋_GB2312" w:cs="仿宋_GB2312"/>
          <w:b/>
          <w:bCs/>
          <w:color w:val="000000" w:themeColor="text1"/>
          <w:sz w:val="32"/>
          <w:szCs w:val="32"/>
          <w:shd w:val="clear" w:color="auto" w:fill="FFFFFF"/>
        </w:rPr>
        <w:t>——毛绒玩具产品交易中心。</w:t>
      </w:r>
      <w:r>
        <w:rPr>
          <w:rFonts w:hint="eastAsia" w:ascii="仿宋_GB2312" w:hAnsi="仿宋_GB2312" w:eastAsia="仿宋_GB2312" w:cs="仿宋_GB2312"/>
          <w:color w:val="000000" w:themeColor="text1"/>
          <w:sz w:val="32"/>
          <w:szCs w:val="32"/>
          <w:shd w:val="clear" w:color="auto" w:fill="FFFFFF"/>
        </w:rPr>
        <w:t>启动建设集毛绒玩具交易、博览、国际贸易为一体的国际性、专业化玩具礼品市场，填补中国西部地区专业市场空白，集中展示、推广安康市范围内毛绒玩具文创企业的产品和服务，为安康市毛绒玩具企业提供一个国内外交易平台和出口基地。</w:t>
      </w:r>
    </w:p>
    <w:p>
      <w:pPr>
        <w:pageBreakBefore w:val="0"/>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b/>
          <w:bCs/>
          <w:color w:val="000000" w:themeColor="text1"/>
          <w:sz w:val="32"/>
          <w:szCs w:val="32"/>
          <w:shd w:val="clear" w:color="auto" w:fill="FFFFFF"/>
        </w:rPr>
        <w:t>——毛绒玩具物流中心。</w:t>
      </w:r>
      <w:r>
        <w:rPr>
          <w:rFonts w:hint="eastAsia" w:ascii="仿宋_GB2312" w:hAnsi="仿宋_GB2312" w:eastAsia="仿宋_GB2312" w:cs="仿宋_GB2312"/>
          <w:color w:val="000000" w:themeColor="text1"/>
          <w:sz w:val="32"/>
          <w:szCs w:val="32"/>
          <w:shd w:val="clear" w:color="auto" w:fill="FFFFFF"/>
        </w:rPr>
        <w:t>启动建设毛绒玩具物流中心，加快专业物流企业的入驻，加强与国内外知名快递公司的合作，推行毛绒玩具及其周边产品“集装箱公铁海空”联运，构建多式联运物流信息平台，提高物流效率，切实降低毛绒玩具成品、半成品、辅料物流成本和小件毛绒玩具快递成本。</w:t>
      </w:r>
    </w:p>
    <w:p>
      <w:pPr>
        <w:pageBreakBefore w:val="0"/>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color w:val="000000" w:themeColor="text1"/>
          <w:sz w:val="32"/>
          <w:szCs w:val="32"/>
          <w:shd w:val="clear" w:color="auto" w:fill="FFFFFF"/>
        </w:rPr>
      </w:pPr>
      <w:bookmarkStart w:id="95" w:name="_Toc18287643"/>
      <w:r>
        <w:rPr>
          <w:rFonts w:hint="eastAsia" w:ascii="楷体_GB2312" w:hAnsi="楷体_GB2312" w:eastAsia="楷体_GB2312" w:cs="楷体_GB2312"/>
          <w:b/>
          <w:bCs w:val="0"/>
          <w:color w:val="000000" w:themeColor="text1"/>
          <w:kern w:val="2"/>
          <w:sz w:val="32"/>
          <w:szCs w:val="32"/>
          <w:lang w:val="en-US" w:eastAsia="zh-CN" w:bidi="ar-SA"/>
        </w:rPr>
        <w:t>（七）特色小镇建设行动</w:t>
      </w:r>
      <w:bookmarkEnd w:id="95"/>
    </w:p>
    <w:p>
      <w:pPr>
        <w:pageBreakBefore w:val="0"/>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color w:val="000000" w:themeColor="text1"/>
          <w:sz w:val="32"/>
          <w:szCs w:val="32"/>
          <w:shd w:val="clear" w:color="auto" w:fill="FFFFFF"/>
        </w:rPr>
        <w:t>在安康全境规划建设3-5个毛绒玩具文创产业特色小镇。重点依托恒口示范区，打造西部首个毛绒玩具文创产业特色小镇，有机融合生产、生活和生态需求，合理规划产业、生活、生态等空间布局。</w:t>
      </w:r>
    </w:p>
    <w:p>
      <w:pPr>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b/>
          <w:bCs/>
          <w:color w:val="000000" w:themeColor="text1"/>
          <w:sz w:val="32"/>
          <w:szCs w:val="32"/>
          <w:shd w:val="clear" w:color="auto" w:fill="FFFFFF"/>
        </w:rPr>
        <w:t>——建设国内一流毛绒玩具文旅基地。</w:t>
      </w:r>
      <w:r>
        <w:rPr>
          <w:rFonts w:hint="eastAsia" w:ascii="仿宋_GB2312" w:hAnsi="仿宋_GB2312" w:eastAsia="仿宋_GB2312" w:cs="仿宋_GB2312"/>
          <w:color w:val="000000" w:themeColor="text1"/>
          <w:sz w:val="32"/>
          <w:szCs w:val="32"/>
          <w:shd w:val="clear" w:color="auto" w:fill="FFFFFF"/>
        </w:rPr>
        <w:t>依托秦巴地区经贸旅游和历史人文资源，融入声光电、人工智能、AR/VR等高科技元素，建设以文化展示、购物娱乐、教育培训、互动旅游等多种业态于一体的国内一流毛绒玩具文旅基地，进一步彰显毛绒玩具特有的童趣文化、亲子文化。</w:t>
      </w:r>
    </w:p>
    <w:p>
      <w:pPr>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b/>
          <w:bCs/>
          <w:color w:val="000000" w:themeColor="text1"/>
          <w:sz w:val="32"/>
          <w:szCs w:val="32"/>
          <w:shd w:val="clear" w:color="auto" w:fill="FFFFFF"/>
        </w:rPr>
        <w:t>——打造毛绒文创产业核心聚集区。</w:t>
      </w:r>
      <w:r>
        <w:rPr>
          <w:rFonts w:hint="eastAsia" w:ascii="仿宋_GB2312" w:hAnsi="仿宋_GB2312" w:eastAsia="仿宋_GB2312" w:cs="仿宋_GB2312"/>
          <w:color w:val="000000" w:themeColor="text1"/>
          <w:sz w:val="32"/>
          <w:szCs w:val="32"/>
          <w:shd w:val="clear" w:color="auto" w:fill="FFFFFF"/>
        </w:rPr>
        <w:t>依托特色小镇的毛绒玩具制造资源和人力资源，吸引各类玩具设计、创意企业进驻，将特色小镇打造为毛绒文创产业核心聚集区。</w:t>
      </w:r>
    </w:p>
    <w:p>
      <w:pPr>
        <w:pStyle w:val="3"/>
        <w:pageBreakBefore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楷体_GB2312" w:hAnsi="楷体_GB2312" w:eastAsia="楷体_GB2312" w:cs="楷体_GB2312"/>
          <w:b/>
          <w:bCs w:val="0"/>
          <w:color w:val="000000" w:themeColor="text1"/>
        </w:rPr>
      </w:pPr>
      <w:bookmarkStart w:id="96" w:name="_Toc18287644"/>
      <w:r>
        <w:rPr>
          <w:rFonts w:hint="eastAsia" w:ascii="楷体_GB2312" w:hAnsi="楷体_GB2312" w:eastAsia="楷体_GB2312" w:cs="楷体_GB2312"/>
          <w:b/>
          <w:bCs w:val="0"/>
          <w:color w:val="000000" w:themeColor="text1"/>
        </w:rPr>
        <w:t>（八）内外贸开拓行动</w:t>
      </w:r>
      <w:bookmarkEnd w:id="96"/>
    </w:p>
    <w:p>
      <w:pPr>
        <w:pStyle w:val="11"/>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3" w:firstLineChars="200"/>
        <w:jc w:val="both"/>
        <w:textAlignment w:val="auto"/>
        <w:rPr>
          <w:rFonts w:hint="eastAsia" w:ascii="仿宋_GB2312" w:hAnsi="仿宋_GB2312" w:eastAsia="仿宋_GB2312" w:cs="仿宋_GB2312"/>
          <w:color w:val="000000" w:themeColor="text1"/>
          <w:kern w:val="2"/>
          <w:sz w:val="32"/>
          <w:szCs w:val="32"/>
          <w:shd w:val="clear" w:color="auto" w:fill="FFFFFF"/>
          <w:lang w:val="en-US" w:eastAsia="zh-CN" w:bidi="ar-SA"/>
        </w:rPr>
      </w:pPr>
      <w:r>
        <w:rPr>
          <w:rFonts w:hint="eastAsia" w:ascii="仿宋_GB2312" w:hAnsi="仿宋_GB2312" w:eastAsia="仿宋_GB2312" w:cs="仿宋_GB2312"/>
          <w:b/>
          <w:bCs/>
          <w:color w:val="000000" w:themeColor="text1"/>
          <w:kern w:val="2"/>
          <w:sz w:val="32"/>
          <w:szCs w:val="32"/>
          <w:shd w:val="clear" w:color="auto" w:fill="FFFFFF"/>
          <w:lang w:val="en-US" w:eastAsia="zh-CN" w:bidi="ar-SA"/>
        </w:rPr>
        <w:t>——进一步开拓国际市场。</w:t>
      </w:r>
      <w:r>
        <w:rPr>
          <w:rFonts w:hint="eastAsia" w:ascii="仿宋_GB2312" w:hAnsi="仿宋_GB2312" w:eastAsia="仿宋_GB2312" w:cs="仿宋_GB2312"/>
          <w:color w:val="000000" w:themeColor="text1"/>
          <w:kern w:val="2"/>
          <w:sz w:val="32"/>
          <w:szCs w:val="32"/>
          <w:shd w:val="clear" w:color="auto" w:fill="FFFFFF"/>
          <w:lang w:val="en-US" w:eastAsia="zh-CN" w:bidi="ar-SA"/>
        </w:rPr>
        <w:t>培育企业外销能力，提高企业核心竞争力。组织重点毛绒玩具企业参加国外知名专业玩具展会（德国纽伦堡玩具展、香港玩具展、纽约玩具展）进行市场开拓。实施“走出去”战略，鼓励有条件的企业到国外成立办事处、建立营销网络等；鼓励毛绒玩具企业积极开拓俄罗斯、拉美、东南亚、非洲等新兴市场，对确有成效的企业给予补助和奖励。</w:t>
      </w:r>
    </w:p>
    <w:p>
      <w:pPr>
        <w:pStyle w:val="11"/>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3" w:firstLineChars="200"/>
        <w:jc w:val="both"/>
        <w:textAlignment w:val="auto"/>
        <w:rPr>
          <w:rFonts w:hint="eastAsia" w:ascii="仿宋_GB2312" w:hAnsi="仿宋_GB2312" w:eastAsia="仿宋_GB2312" w:cs="仿宋_GB2312"/>
          <w:color w:val="000000" w:themeColor="text1"/>
          <w:kern w:val="2"/>
          <w:sz w:val="32"/>
          <w:szCs w:val="32"/>
          <w:shd w:val="clear" w:color="auto" w:fill="FFFFFF"/>
          <w:lang w:val="en-US" w:eastAsia="zh-CN" w:bidi="ar-SA"/>
        </w:rPr>
      </w:pPr>
      <w:r>
        <w:rPr>
          <w:rFonts w:hint="eastAsia" w:ascii="仿宋_GB2312" w:hAnsi="仿宋_GB2312" w:eastAsia="仿宋_GB2312" w:cs="仿宋_GB2312"/>
          <w:b/>
          <w:bCs/>
          <w:color w:val="000000" w:themeColor="text1"/>
          <w:kern w:val="2"/>
          <w:sz w:val="32"/>
          <w:szCs w:val="32"/>
          <w:shd w:val="clear" w:color="auto" w:fill="FFFFFF"/>
          <w:lang w:val="en-US" w:eastAsia="zh-CN" w:bidi="ar-SA"/>
        </w:rPr>
        <w:t>——进一步提升国际贸易服务能力。</w:t>
      </w:r>
      <w:r>
        <w:rPr>
          <w:rFonts w:hint="eastAsia" w:ascii="仿宋_GB2312" w:hAnsi="仿宋_GB2312" w:eastAsia="仿宋_GB2312" w:cs="仿宋_GB2312"/>
          <w:color w:val="000000" w:themeColor="text1"/>
          <w:kern w:val="2"/>
          <w:sz w:val="32"/>
          <w:szCs w:val="32"/>
          <w:shd w:val="clear" w:color="auto" w:fill="FFFFFF"/>
          <w:lang w:val="en-US" w:eastAsia="zh-CN" w:bidi="ar-SA"/>
        </w:rPr>
        <w:t>加快推进安康口岸建设，组建安康陆港、空港、河港等，引进海关、金融、保险、法律、检验等现代服务产业。引进国际贸易专业机构和人才，服务毛绒玩具企业外贸需求。引导企业提升管理水平，提高应对国际贸易壁垒和解决贸易争端的能力和水平。</w:t>
      </w:r>
    </w:p>
    <w:p>
      <w:pPr>
        <w:pStyle w:val="11"/>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3" w:firstLineChars="200"/>
        <w:jc w:val="both"/>
        <w:textAlignment w:val="auto"/>
        <w:rPr>
          <w:rFonts w:ascii="仿宋" w:hAnsi="仿宋" w:eastAsia="仿宋" w:cs="Times New Roman"/>
          <w:bCs/>
          <w:color w:val="000000" w:themeColor="text1"/>
          <w:sz w:val="32"/>
          <w:szCs w:val="32"/>
          <w:shd w:val="clear" w:color="auto" w:fill="FFFFFF"/>
        </w:rPr>
      </w:pPr>
      <w:r>
        <w:rPr>
          <w:rFonts w:hint="eastAsia" w:ascii="仿宋_GB2312" w:hAnsi="仿宋_GB2312" w:eastAsia="仿宋_GB2312" w:cs="仿宋_GB2312"/>
          <w:b/>
          <w:bCs/>
          <w:color w:val="000000" w:themeColor="text1"/>
          <w:kern w:val="2"/>
          <w:sz w:val="32"/>
          <w:szCs w:val="32"/>
          <w:shd w:val="clear" w:color="auto" w:fill="FFFFFF"/>
          <w:lang w:val="en-US" w:eastAsia="zh-CN" w:bidi="ar-SA"/>
        </w:rPr>
        <w:t>——引导企业加快国内市场开拓步伐。</w:t>
      </w:r>
      <w:r>
        <w:rPr>
          <w:rFonts w:hint="eastAsia" w:ascii="仿宋_GB2312" w:hAnsi="仿宋_GB2312" w:eastAsia="仿宋_GB2312" w:cs="仿宋_GB2312"/>
          <w:color w:val="000000" w:themeColor="text1"/>
          <w:kern w:val="2"/>
          <w:sz w:val="32"/>
          <w:szCs w:val="32"/>
          <w:shd w:val="clear" w:color="auto" w:fill="FFFFFF"/>
          <w:lang w:val="en-US" w:eastAsia="zh-CN" w:bidi="ar-SA"/>
        </w:rPr>
        <w:t>挖掘国内市场，开辟新的销售渠道。鼓励毛绒玩具企业借助阿里巴巴、淘宝网、京东等资源，开拓毛绒玩具销售新渠道。组织在扬州五亭龙玩具城、澄海宝奥玩具商城、义乌小商品市场等地建立统一形象的安康毛绒玩具展销店，服务对接国内市场需求。</w:t>
      </w:r>
      <w:bookmarkEnd w:id="91"/>
      <w:bookmarkEnd w:id="92"/>
      <w:bookmarkStart w:id="97" w:name="_Toc12454032"/>
    </w:p>
    <w:p>
      <w:pPr>
        <w:pStyle w:val="11"/>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3" w:firstLineChars="200"/>
        <w:jc w:val="both"/>
        <w:textAlignment w:val="auto"/>
        <w:rPr>
          <w:rFonts w:ascii="仿宋" w:hAnsi="仿宋" w:eastAsia="仿宋" w:cs="Times New Roman"/>
          <w:bCs/>
          <w:color w:val="000000" w:themeColor="text1"/>
          <w:sz w:val="32"/>
          <w:szCs w:val="32"/>
          <w:shd w:val="clear" w:color="auto" w:fill="FFFFFF"/>
        </w:rPr>
      </w:pPr>
      <w:r>
        <w:rPr>
          <w:rFonts w:hint="eastAsia" w:ascii="仿宋_GB2312" w:hAnsi="仿宋_GB2312" w:eastAsia="仿宋_GB2312" w:cs="仿宋_GB2312"/>
          <w:b/>
          <w:bCs/>
          <w:color w:val="000000" w:themeColor="text1"/>
          <w:kern w:val="2"/>
          <w:sz w:val="32"/>
          <w:szCs w:val="32"/>
          <w:shd w:val="clear" w:color="auto" w:fill="FFFFFF"/>
          <w:lang w:val="en-US" w:eastAsia="zh-CN" w:bidi="ar-SA"/>
        </w:rPr>
        <w:t>——推动电子商务持续健康发展。</w:t>
      </w:r>
      <w:r>
        <w:rPr>
          <w:rFonts w:hint="eastAsia" w:ascii="仿宋_GB2312" w:hAnsi="仿宋_GB2312" w:eastAsia="仿宋_GB2312" w:cs="仿宋_GB2312"/>
          <w:color w:val="000000" w:themeColor="text1"/>
          <w:kern w:val="2"/>
          <w:sz w:val="32"/>
          <w:szCs w:val="32"/>
          <w:shd w:val="clear" w:color="auto" w:fill="FFFFFF"/>
          <w:lang w:val="en-US" w:eastAsia="zh-CN" w:bidi="ar-SA"/>
        </w:rPr>
        <w:t>支持引导毛绒玩具文创产品电子商务产业向规模化、标准化、集群化、规范化方向发展。建设毛绒玩具公共服务平台，具备门户展示、交易服务、信息检索等功能。培育一批竞争力较强的外贸综合服务平台和知名度较高的交易平台，对接一站式报关、商务洽谈、文化翻译等功能。支持跨境电子商务企业围绕技术、物流、服务创新商业模式，加强与境外企业合作，通过规范的海外仓、体验店等模式融入国外零售体系，逐步实现经营规范化、管理专业化、物流标准化和监管科学化。</w:t>
      </w:r>
    </w:p>
    <w:p>
      <w:pPr>
        <w:pStyle w:val="2"/>
        <w:pageBreakBefore w:val="0"/>
        <w:kinsoku/>
        <w:wordWrap/>
        <w:overflowPunct/>
        <w:topLinePunct w:val="0"/>
        <w:autoSpaceDE/>
        <w:autoSpaceDN/>
        <w:bidi w:val="0"/>
        <w:adjustRightInd/>
        <w:snapToGrid/>
        <w:spacing w:before="0" w:after="0" w:line="560" w:lineRule="exact"/>
        <w:ind w:firstLine="640" w:firstLineChars="200"/>
        <w:jc w:val="both"/>
        <w:textAlignment w:val="auto"/>
        <w:rPr>
          <w:rFonts w:ascii="黑体" w:hAnsi="黑体" w:eastAsia="黑体"/>
          <w:b w:val="0"/>
          <w:bCs w:val="0"/>
          <w:color w:val="000000" w:themeColor="text1"/>
          <w:sz w:val="32"/>
          <w:szCs w:val="32"/>
        </w:rPr>
      </w:pPr>
      <w:bookmarkStart w:id="98" w:name="_Toc18287645"/>
      <w:r>
        <w:rPr>
          <w:rFonts w:hint="eastAsia" w:ascii="黑体" w:hAnsi="黑体" w:eastAsia="黑体"/>
          <w:b w:val="0"/>
          <w:bCs w:val="0"/>
          <w:color w:val="000000" w:themeColor="text1"/>
          <w:sz w:val="32"/>
          <w:szCs w:val="32"/>
        </w:rPr>
        <w:t>六、保障措施</w:t>
      </w:r>
      <w:bookmarkEnd w:id="78"/>
      <w:bookmarkEnd w:id="79"/>
      <w:bookmarkEnd w:id="80"/>
      <w:bookmarkEnd w:id="97"/>
      <w:bookmarkEnd w:id="98"/>
    </w:p>
    <w:p>
      <w:pPr>
        <w:pStyle w:val="3"/>
        <w:pageBreakBefore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楷体_GB2312" w:hAnsi="楷体_GB2312" w:eastAsia="楷体_GB2312" w:cs="楷体_GB2312"/>
          <w:b/>
          <w:bCs w:val="0"/>
          <w:color w:val="000000" w:themeColor="text1"/>
        </w:rPr>
      </w:pPr>
      <w:bookmarkStart w:id="99" w:name="_Toc8658501"/>
      <w:bookmarkStart w:id="100" w:name="_Toc18287646"/>
      <w:bookmarkStart w:id="101" w:name="_Toc4588670"/>
      <w:bookmarkStart w:id="102" w:name="_Toc7209725"/>
      <w:bookmarkStart w:id="103" w:name="_Toc12454033"/>
      <w:r>
        <w:rPr>
          <w:rFonts w:hint="eastAsia" w:ascii="楷体_GB2312" w:hAnsi="楷体_GB2312" w:eastAsia="楷体_GB2312" w:cs="楷体_GB2312"/>
          <w:b/>
          <w:bCs w:val="0"/>
          <w:color w:val="000000" w:themeColor="text1"/>
        </w:rPr>
        <w:t>（一）组织保障</w:t>
      </w:r>
      <w:bookmarkEnd w:id="99"/>
      <w:bookmarkEnd w:id="100"/>
      <w:bookmarkEnd w:id="101"/>
      <w:bookmarkEnd w:id="102"/>
      <w:bookmarkEnd w:id="103"/>
      <w:r>
        <w:rPr>
          <w:rFonts w:hint="eastAsia" w:ascii="楷体_GB2312" w:hAnsi="楷体_GB2312" w:eastAsia="楷体_GB2312" w:cs="楷体_GB2312"/>
          <w:b/>
          <w:bCs w:val="0"/>
          <w:color w:val="000000" w:themeColor="text1"/>
        </w:rPr>
        <w:t xml:space="preserve"> </w:t>
      </w:r>
    </w:p>
    <w:p>
      <w:pPr>
        <w:pageBreakBefore w:val="0"/>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b/>
          <w:bCs/>
          <w:color w:val="000000" w:themeColor="text1"/>
          <w:sz w:val="32"/>
          <w:szCs w:val="32"/>
          <w:shd w:val="clear" w:color="auto" w:fill="FFFFFF"/>
        </w:rPr>
        <w:t>——完善体制机制。</w:t>
      </w:r>
      <w:r>
        <w:rPr>
          <w:rFonts w:hint="eastAsia" w:ascii="仿宋_GB2312" w:hAnsi="仿宋_GB2312" w:eastAsia="仿宋_GB2312" w:cs="仿宋_GB2312"/>
          <w:color w:val="000000" w:themeColor="text1"/>
          <w:sz w:val="32"/>
          <w:szCs w:val="32"/>
          <w:shd w:val="clear" w:color="auto" w:fill="FFFFFF"/>
        </w:rPr>
        <w:t>成立安康市毛绒玩具文创产业发展领导小组，全面负责全市毛绒玩具文创产业发展的统筹协调工作，领导小组下设办公室，具体负责全市毛绒玩具产业招商、服务、督查、考核等工作；各县区要建立健全相应的工作机制；形成上下联动、整体推进的工作格局。</w:t>
      </w:r>
    </w:p>
    <w:p>
      <w:pPr>
        <w:pageBreakBefore w:val="0"/>
        <w:kinsoku/>
        <w:wordWrap/>
        <w:overflowPunct/>
        <w:topLinePunct w:val="0"/>
        <w:autoSpaceDE/>
        <w:autoSpaceDN/>
        <w:bidi w:val="0"/>
        <w:adjustRightInd/>
        <w:snapToGrid/>
        <w:spacing w:line="560" w:lineRule="exact"/>
        <w:ind w:firstLine="640"/>
        <w:jc w:val="both"/>
        <w:textAlignment w:val="auto"/>
        <w:rPr>
          <w:rFonts w:ascii="仿宋" w:hAnsi="仿宋" w:eastAsia="仿宋" w:cs="Arial"/>
          <w:color w:val="000000" w:themeColor="text1"/>
          <w:sz w:val="32"/>
          <w:szCs w:val="32"/>
          <w:shd w:val="clear" w:color="auto" w:fill="FFFFFF"/>
        </w:rPr>
      </w:pPr>
      <w:r>
        <w:rPr>
          <w:rFonts w:hint="eastAsia" w:ascii="仿宋_GB2312" w:hAnsi="仿宋_GB2312" w:eastAsia="仿宋_GB2312" w:cs="仿宋_GB2312"/>
          <w:b/>
          <w:bCs/>
          <w:color w:val="000000" w:themeColor="text1"/>
          <w:sz w:val="32"/>
          <w:szCs w:val="32"/>
          <w:shd w:val="clear" w:color="auto" w:fill="FFFFFF"/>
        </w:rPr>
        <w:t>——加强干部队伍建设。</w:t>
      </w:r>
      <w:r>
        <w:rPr>
          <w:rFonts w:hint="eastAsia" w:ascii="仿宋_GB2312" w:hAnsi="仿宋_GB2312" w:eastAsia="仿宋_GB2312" w:cs="仿宋_GB2312"/>
          <w:color w:val="000000" w:themeColor="text1"/>
          <w:sz w:val="32"/>
          <w:szCs w:val="32"/>
          <w:shd w:val="clear" w:color="auto" w:fill="FFFFFF"/>
        </w:rPr>
        <w:t>市级相关部门、各县区、镇办要抽调一批能干、会干、爱干的领导干部投身于毛绒玩具文创产业，培养出真正爱玩具、懂产业、谋发展的干部，切实为毛绒玩具文创产业发展贡献力量。</w:t>
      </w:r>
    </w:p>
    <w:p>
      <w:pPr>
        <w:pageBreakBefore w:val="0"/>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b/>
          <w:bCs/>
          <w:color w:val="000000" w:themeColor="text1"/>
          <w:sz w:val="32"/>
          <w:szCs w:val="32"/>
          <w:shd w:val="clear" w:color="auto" w:fill="FFFFFF"/>
        </w:rPr>
        <w:t>——确保安全生产。</w:t>
      </w:r>
      <w:r>
        <w:rPr>
          <w:rFonts w:hint="eastAsia" w:ascii="仿宋_GB2312" w:hAnsi="仿宋_GB2312" w:eastAsia="仿宋_GB2312" w:cs="仿宋_GB2312"/>
          <w:color w:val="000000" w:themeColor="text1"/>
          <w:sz w:val="32"/>
          <w:szCs w:val="32"/>
          <w:shd w:val="clear" w:color="auto" w:fill="FFFFFF"/>
        </w:rPr>
        <w:t>新建工业园区、社区工厂、标准化厂房时，住建部门需先期介入，争取一次达标。消防部门要加大宣传教育指导力度，加强消防安全事中事后监管；标准化厂房的道路要满足消防车道的要求，厂房之间及与仓库、民用建筑的防火间距应符合相关规定。</w:t>
      </w:r>
    </w:p>
    <w:p>
      <w:pPr>
        <w:pageBreakBefore w:val="0"/>
        <w:kinsoku/>
        <w:wordWrap/>
        <w:overflowPunct/>
        <w:topLinePunct w:val="0"/>
        <w:autoSpaceDE/>
        <w:autoSpaceDN/>
        <w:bidi w:val="0"/>
        <w:adjustRightInd/>
        <w:snapToGrid/>
        <w:spacing w:line="560" w:lineRule="exact"/>
        <w:ind w:firstLine="640"/>
        <w:jc w:val="both"/>
        <w:textAlignment w:val="auto"/>
        <w:rPr>
          <w:rFonts w:ascii="仿宋" w:hAnsi="仿宋" w:eastAsia="仿宋" w:cs="Arial"/>
          <w:color w:val="000000" w:themeColor="text1"/>
          <w:sz w:val="32"/>
          <w:szCs w:val="32"/>
          <w:shd w:val="clear" w:color="auto" w:fill="FFFFFF"/>
        </w:rPr>
      </w:pPr>
      <w:r>
        <w:rPr>
          <w:rFonts w:hint="eastAsia" w:ascii="仿宋_GB2312" w:hAnsi="仿宋_GB2312" w:eastAsia="仿宋_GB2312" w:cs="仿宋_GB2312"/>
          <w:b/>
          <w:bCs/>
          <w:color w:val="000000" w:themeColor="text1"/>
          <w:sz w:val="32"/>
          <w:szCs w:val="32"/>
          <w:shd w:val="clear" w:color="auto" w:fill="FFFFFF"/>
        </w:rPr>
        <w:t>——严格督查考核。</w:t>
      </w:r>
      <w:r>
        <w:rPr>
          <w:rFonts w:hint="eastAsia" w:ascii="仿宋_GB2312" w:hAnsi="仿宋_GB2312" w:eastAsia="仿宋_GB2312" w:cs="仿宋_GB2312"/>
          <w:color w:val="000000" w:themeColor="text1"/>
          <w:sz w:val="32"/>
          <w:szCs w:val="32"/>
          <w:shd w:val="clear" w:color="auto" w:fill="FFFFFF"/>
        </w:rPr>
        <w:t>将毛绒玩具文创产业发展纳入县区年度目标责任考核，确保责任到位、任务落实。定期开展专项督查，定期通报全市毛绒玩具文创产业发展进展情况，对发展速度快、工作成效显著的予以表彰奖励，对目标任务完成差、工作落实不力的进行通报批评。</w:t>
      </w:r>
    </w:p>
    <w:p>
      <w:pPr>
        <w:pageBreakBefore w:val="0"/>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b/>
          <w:bCs/>
          <w:color w:val="000000" w:themeColor="text1"/>
          <w:sz w:val="32"/>
          <w:szCs w:val="32"/>
          <w:shd w:val="clear" w:color="auto" w:fill="FFFFFF"/>
        </w:rPr>
        <w:t>——成立行业协会。</w:t>
      </w:r>
      <w:r>
        <w:rPr>
          <w:rFonts w:hint="eastAsia" w:ascii="仿宋_GB2312" w:hAnsi="仿宋_GB2312" w:eastAsia="仿宋_GB2312" w:cs="仿宋_GB2312"/>
          <w:color w:val="000000" w:themeColor="text1"/>
          <w:sz w:val="32"/>
          <w:szCs w:val="32"/>
          <w:shd w:val="clear" w:color="auto" w:fill="FFFFFF"/>
        </w:rPr>
        <w:t>要加强毛绒玩具文创产业群团组织建设，政府整合资源、搭建平台，引导成立安康市毛绒玩具文创产业协会，充分发挥其桥梁纽带作用，推动企业“抱团”式发展，形成多方联动、共同参与的工作合力，打造安康毛绒玩具文创产业区域品牌。</w:t>
      </w:r>
    </w:p>
    <w:p>
      <w:pPr>
        <w:pStyle w:val="3"/>
        <w:pageBreakBefore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楷体_GB2312" w:hAnsi="楷体_GB2312" w:eastAsia="楷体_GB2312" w:cs="楷体_GB2312"/>
          <w:b/>
          <w:bCs w:val="0"/>
          <w:color w:val="000000" w:themeColor="text1"/>
        </w:rPr>
      </w:pPr>
      <w:bookmarkStart w:id="104" w:name="_Toc7209726"/>
      <w:bookmarkStart w:id="105" w:name="_Toc12454034"/>
      <w:bookmarkStart w:id="106" w:name="_Toc8658502"/>
      <w:bookmarkStart w:id="107" w:name="_Toc18287647"/>
      <w:bookmarkStart w:id="108" w:name="_Toc4588671"/>
      <w:r>
        <w:rPr>
          <w:rFonts w:hint="eastAsia" w:ascii="楷体_GB2312" w:hAnsi="楷体_GB2312" w:eastAsia="楷体_GB2312" w:cs="楷体_GB2312"/>
          <w:b/>
          <w:bCs w:val="0"/>
          <w:color w:val="000000" w:themeColor="text1"/>
        </w:rPr>
        <w:t>（二）政策保障</w:t>
      </w:r>
      <w:bookmarkEnd w:id="104"/>
      <w:bookmarkEnd w:id="105"/>
      <w:bookmarkEnd w:id="106"/>
      <w:bookmarkEnd w:id="107"/>
      <w:bookmarkEnd w:id="108"/>
      <w:r>
        <w:rPr>
          <w:rFonts w:hint="eastAsia" w:ascii="楷体_GB2312" w:hAnsi="楷体_GB2312" w:eastAsia="楷体_GB2312" w:cs="楷体_GB2312"/>
          <w:b/>
          <w:bCs w:val="0"/>
          <w:color w:val="000000" w:themeColor="text1"/>
        </w:rPr>
        <w:t xml:space="preserve"> </w:t>
      </w:r>
    </w:p>
    <w:p>
      <w:pPr>
        <w:pageBreakBefore w:val="0"/>
        <w:kinsoku/>
        <w:wordWrap/>
        <w:overflowPunct/>
        <w:topLinePunct w:val="0"/>
        <w:autoSpaceDE/>
        <w:autoSpaceDN/>
        <w:bidi w:val="0"/>
        <w:adjustRightInd/>
        <w:snapToGrid/>
        <w:spacing w:line="560" w:lineRule="exact"/>
        <w:ind w:firstLine="643" w:firstLineChars="200"/>
        <w:jc w:val="both"/>
        <w:textAlignment w:val="auto"/>
        <w:rPr>
          <w:rFonts w:ascii="仿宋" w:hAnsi="仿宋" w:eastAsia="仿宋" w:cs="Arial"/>
          <w:color w:val="000000" w:themeColor="text1"/>
          <w:sz w:val="32"/>
          <w:szCs w:val="32"/>
          <w:shd w:val="clear" w:color="auto" w:fill="FFFFFF"/>
        </w:rPr>
      </w:pPr>
      <w:r>
        <w:rPr>
          <w:rFonts w:hint="eastAsia" w:ascii="仿宋_GB2312" w:hAnsi="仿宋_GB2312" w:eastAsia="仿宋_GB2312" w:cs="仿宋_GB2312"/>
          <w:b/>
          <w:bCs/>
          <w:color w:val="000000" w:themeColor="text1"/>
          <w:sz w:val="32"/>
          <w:szCs w:val="32"/>
          <w:shd w:val="clear" w:color="auto" w:fill="FFFFFF"/>
        </w:rPr>
        <w:t>——强化政策资金支持。</w:t>
      </w:r>
      <w:r>
        <w:rPr>
          <w:rFonts w:hint="eastAsia" w:ascii="仿宋_GB2312" w:hAnsi="仿宋_GB2312" w:eastAsia="仿宋_GB2312" w:cs="仿宋_GB2312"/>
          <w:color w:val="000000" w:themeColor="text1"/>
          <w:sz w:val="32"/>
          <w:szCs w:val="32"/>
          <w:shd w:val="clear" w:color="auto" w:fill="FFFFFF"/>
        </w:rPr>
        <w:t>积极争取中、省政策资金支持，对落户安康的毛绒玩具文创企业给予享受上市绿色通道、上市优惠等鼓励政策。设立市、县毛绒玩具文创产业发展资金，在综合考量企业用工人数、规模产值、扶贫效益等因素的基础上，对重点毛绒玩具文创企业给予补助奖励。对企业生产场地按企业生产要求完成硬件装修，在一定补贴期内，其租赁费、水电费全额补贴，所需资金由县区统筹解决。补贴期满后，若企业需继续租赁厂房，以不高于同地同期同标准市场租赁价另行商定。</w:t>
      </w:r>
    </w:p>
    <w:p>
      <w:pPr>
        <w:pageBreakBefore w:val="0"/>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b/>
          <w:bCs/>
          <w:color w:val="000000" w:themeColor="text1"/>
          <w:sz w:val="32"/>
          <w:szCs w:val="32"/>
          <w:shd w:val="clear" w:color="auto" w:fill="FFFFFF"/>
        </w:rPr>
        <w:t>——落实就业补贴政策。</w:t>
      </w:r>
      <w:r>
        <w:rPr>
          <w:rFonts w:hint="eastAsia" w:ascii="仿宋_GB2312" w:hAnsi="仿宋_GB2312" w:eastAsia="仿宋_GB2312" w:cs="仿宋_GB2312"/>
          <w:color w:val="000000" w:themeColor="text1"/>
          <w:sz w:val="32"/>
          <w:szCs w:val="32"/>
          <w:shd w:val="clear" w:color="auto" w:fill="FFFFFF"/>
        </w:rPr>
        <w:t xml:space="preserve">用足用活就业扶持政策，全力支持毛绒玩具文创产业发展。对毛绒玩具加工企业新招录员工，实施技能培训补贴，由企业组织实施培训并将补贴直接兑现给企业；毛绒玩具企业每吸纳一个建档立卡贫困劳动力就业、稳定就业半年以上的，给予企业一次性岗位补贴；对贫困劳动力、就业困难人员创办毛绒玩具文创企业的，给予一次性创业补贴。鼓励毛绒玩具文创企业开发高校毕业生见习岗位；鼓励企业留用见习人员，并给予一次性留用补贴。被认定为省、市、县级就地就近就业示范基地或就业扶贫基地的，给予相应奖励。 </w:t>
      </w:r>
    </w:p>
    <w:p>
      <w:pPr>
        <w:pageBreakBefore w:val="0"/>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b/>
          <w:bCs/>
          <w:color w:val="000000" w:themeColor="text1"/>
          <w:sz w:val="32"/>
          <w:szCs w:val="32"/>
          <w:shd w:val="clear" w:color="auto" w:fill="FFFFFF"/>
        </w:rPr>
        <w:t>——提高税收优惠标准。</w:t>
      </w:r>
      <w:r>
        <w:rPr>
          <w:rFonts w:hint="eastAsia" w:ascii="仿宋_GB2312" w:hAnsi="仿宋_GB2312" w:eastAsia="仿宋_GB2312" w:cs="仿宋_GB2312"/>
          <w:color w:val="000000" w:themeColor="text1"/>
          <w:sz w:val="32"/>
          <w:szCs w:val="32"/>
          <w:shd w:val="clear" w:color="auto" w:fill="FFFFFF"/>
        </w:rPr>
        <w:t>全面落实毛绒玩具文创企业各项税收优惠政策。企业投产后三年内，将企业每年上缴的增值税、企业所得税市、县两级留存部分，专项用于同级政府设立的毛绒玩具文创产业发展资金，支持企业发展。涉及出口业务的，按照国家出口退（免）税政策，给予减免。</w:t>
      </w:r>
    </w:p>
    <w:p>
      <w:pPr>
        <w:pageBreakBefore w:val="0"/>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b/>
          <w:bCs/>
          <w:color w:val="000000" w:themeColor="text1"/>
          <w:sz w:val="32"/>
          <w:szCs w:val="32"/>
          <w:shd w:val="clear" w:color="auto" w:fill="FFFFFF"/>
        </w:rPr>
        <w:t>——加大投融资支持力度。</w:t>
      </w:r>
      <w:r>
        <w:rPr>
          <w:rFonts w:hint="eastAsia" w:ascii="仿宋_GB2312" w:hAnsi="仿宋_GB2312" w:eastAsia="仿宋_GB2312" w:cs="仿宋_GB2312"/>
          <w:color w:val="000000" w:themeColor="text1"/>
          <w:sz w:val="32"/>
          <w:szCs w:val="32"/>
          <w:shd w:val="clear" w:color="auto" w:fill="FFFFFF"/>
        </w:rPr>
        <w:t>加大投入，安排财政性资金支持毛绒玩具文创产业发展，通过扶持政策，吸引更多民间资本投入毛绒玩具文创产业发展。加强政、银、企三方联动，推广零担保、零抵押、纯信用的“新社区工厂贷”，创新“新社区工厂+政府风险基金+金融”的金融扶贫新模式，着力破解毛绒玩具文创产业融资难题。发展毛绒玩具文创产业融资租赁业务，提高毛绒玩具文创企业融资租赁比例。细化金融支持毛绒玩具文创产业发展措施，符合创业担保贷款政策的企业或个人优先办理、优先享受贴息政策，进一步降低信贷难度和成本。</w:t>
      </w:r>
    </w:p>
    <w:p>
      <w:pPr>
        <w:pStyle w:val="3"/>
        <w:pageBreakBefore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楷体_GB2312" w:hAnsi="楷体_GB2312" w:eastAsia="楷体_GB2312" w:cs="楷体_GB2312"/>
          <w:b/>
          <w:bCs w:val="0"/>
          <w:color w:val="000000" w:themeColor="text1"/>
        </w:rPr>
      </w:pPr>
      <w:bookmarkStart w:id="109" w:name="_Toc18287648"/>
      <w:bookmarkStart w:id="110" w:name="_Toc12454035"/>
      <w:bookmarkStart w:id="111" w:name="_Toc7209728"/>
      <w:bookmarkStart w:id="112" w:name="_Toc8658504"/>
      <w:bookmarkStart w:id="113" w:name="_Toc4588673"/>
      <w:r>
        <w:rPr>
          <w:rFonts w:hint="eastAsia" w:ascii="楷体_GB2312" w:hAnsi="楷体_GB2312" w:eastAsia="楷体_GB2312" w:cs="楷体_GB2312"/>
          <w:b/>
          <w:bCs w:val="0"/>
          <w:color w:val="000000" w:themeColor="text1"/>
        </w:rPr>
        <w:t>（三）服务保障</w:t>
      </w:r>
      <w:bookmarkEnd w:id="109"/>
      <w:bookmarkEnd w:id="110"/>
      <w:bookmarkEnd w:id="111"/>
      <w:bookmarkEnd w:id="112"/>
      <w:bookmarkEnd w:id="113"/>
    </w:p>
    <w:p>
      <w:pPr>
        <w:pageBreakBefore w:val="0"/>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color w:val="000000" w:themeColor="text1"/>
          <w:sz w:val="32"/>
          <w:szCs w:val="32"/>
          <w:shd w:val="clear" w:color="auto" w:fill="FFFFFF"/>
        </w:rPr>
        <w:t>秉承“招商、扶商、爱商、安商、富商”的服务理念，深入探索服务新模式，进一步简政放权，积极营造“无门槛进入、无干扰建设、无障碍发展”的最佳投资发展环境，全力当好“店小二”，做好“五星级服务员”，进一步降低企业成本。</w:t>
      </w:r>
    </w:p>
    <w:p>
      <w:pPr>
        <w:pageBreakBefore w:val="0"/>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b/>
          <w:bCs/>
          <w:color w:val="000000" w:themeColor="text1"/>
          <w:sz w:val="32"/>
          <w:szCs w:val="32"/>
          <w:shd w:val="clear" w:color="auto" w:fill="FFFFFF"/>
        </w:rPr>
        <w:t>——优化办事流程。</w:t>
      </w:r>
      <w:r>
        <w:rPr>
          <w:rFonts w:hint="eastAsia" w:ascii="仿宋_GB2312" w:hAnsi="仿宋_GB2312" w:eastAsia="仿宋_GB2312" w:cs="仿宋_GB2312"/>
          <w:color w:val="000000" w:themeColor="text1"/>
          <w:sz w:val="32"/>
          <w:szCs w:val="32"/>
          <w:shd w:val="clear" w:color="auto" w:fill="FFFFFF"/>
        </w:rPr>
        <w:t>开辟毛绒玩具企业服务“绿色通道”，从快从简办理各类手续。积极推进“多证合一、一照一码”登记制度改革，允许“一照多址”、“一址多照”，推行网上办照、微信办照，让企业少跑路、不跑路，实现“零见面、零成本、零介质”。</w:t>
      </w:r>
    </w:p>
    <w:p>
      <w:pPr>
        <w:pageBreakBefore w:val="0"/>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b/>
          <w:bCs/>
          <w:color w:val="000000" w:themeColor="text1"/>
          <w:sz w:val="32"/>
          <w:szCs w:val="32"/>
          <w:shd w:val="clear" w:color="auto" w:fill="FFFFFF"/>
        </w:rPr>
        <w:t>——加强协调沟通。</w:t>
      </w:r>
      <w:r>
        <w:rPr>
          <w:rFonts w:hint="eastAsia" w:ascii="仿宋_GB2312" w:hAnsi="仿宋_GB2312" w:eastAsia="仿宋_GB2312" w:cs="仿宋_GB2312"/>
          <w:color w:val="000000" w:themeColor="text1"/>
          <w:sz w:val="32"/>
          <w:szCs w:val="32"/>
          <w:shd w:val="clear" w:color="auto" w:fill="FFFFFF"/>
        </w:rPr>
        <w:t>毛绒玩具文创企业所在镇办、园区要明确责任领导，实行领导负责协调，专人带办、代办。要加强与企业的沟通，深入了解企业生产、发展等方面的困难和需求，为企业打造贴身式服务。</w:t>
      </w:r>
    </w:p>
    <w:p>
      <w:pPr>
        <w:pageBreakBefore w:val="0"/>
        <w:kinsoku/>
        <w:wordWrap/>
        <w:overflowPunct/>
        <w:topLinePunct w:val="0"/>
        <w:autoSpaceDE/>
        <w:autoSpaceDN/>
        <w:bidi w:val="0"/>
        <w:adjustRightInd/>
        <w:snapToGrid/>
        <w:spacing w:line="560" w:lineRule="exact"/>
        <w:ind w:firstLine="640"/>
        <w:jc w:val="both"/>
        <w:textAlignment w:val="auto"/>
        <w:rPr>
          <w:rFonts w:ascii="仿宋" w:hAnsi="仿宋" w:eastAsia="仿宋" w:cs="Arial"/>
          <w:color w:val="000000" w:themeColor="text1"/>
          <w:sz w:val="32"/>
          <w:szCs w:val="32"/>
          <w:shd w:val="clear" w:color="auto" w:fill="FFFFFF"/>
        </w:rPr>
      </w:pPr>
      <w:r>
        <w:rPr>
          <w:rFonts w:hint="eastAsia" w:ascii="仿宋_GB2312" w:hAnsi="仿宋_GB2312" w:eastAsia="仿宋_GB2312" w:cs="仿宋_GB2312"/>
          <w:b/>
          <w:bCs/>
          <w:color w:val="000000" w:themeColor="text1"/>
          <w:sz w:val="32"/>
          <w:szCs w:val="32"/>
          <w:shd w:val="clear" w:color="auto" w:fill="FFFFFF"/>
        </w:rPr>
        <w:t>——强化教育培训。</w:t>
      </w:r>
      <w:r>
        <w:rPr>
          <w:rFonts w:hint="eastAsia" w:ascii="仿宋_GB2312" w:hAnsi="仿宋_GB2312" w:eastAsia="仿宋_GB2312" w:cs="仿宋_GB2312"/>
          <w:color w:val="000000" w:themeColor="text1"/>
          <w:sz w:val="32"/>
          <w:szCs w:val="32"/>
          <w:shd w:val="clear" w:color="auto" w:fill="FFFFFF"/>
        </w:rPr>
        <w:t>针对企业用工难问题，各县区要结合新民风建设，加强农民转型教育，加速农民向产业工人转变。同时，强化职工安全知识培训，配齐安全防护设施，定期为职工体检。</w:t>
      </w:r>
    </w:p>
    <w:p>
      <w:pPr>
        <w:pStyle w:val="3"/>
        <w:pageBreakBefore w:val="0"/>
        <w:kinsoku/>
        <w:wordWrap/>
        <w:overflowPunct/>
        <w:topLinePunct w:val="0"/>
        <w:autoSpaceDE/>
        <w:autoSpaceDN/>
        <w:bidi w:val="0"/>
        <w:adjustRightInd/>
        <w:snapToGrid/>
        <w:spacing w:before="0" w:after="0" w:line="560" w:lineRule="exact"/>
        <w:ind w:firstLine="643" w:firstLineChars="200"/>
        <w:jc w:val="both"/>
        <w:textAlignment w:val="auto"/>
        <w:rPr>
          <w:rFonts w:hint="eastAsia" w:ascii="楷体_GB2312" w:hAnsi="楷体_GB2312" w:eastAsia="楷体_GB2312" w:cs="楷体_GB2312"/>
          <w:b/>
          <w:bCs w:val="0"/>
          <w:color w:val="000000" w:themeColor="text1"/>
        </w:rPr>
      </w:pPr>
      <w:bookmarkStart w:id="114" w:name="_Toc7209729"/>
      <w:bookmarkStart w:id="115" w:name="_Toc4588674"/>
      <w:bookmarkStart w:id="116" w:name="_Toc8658505"/>
      <w:bookmarkStart w:id="117" w:name="_Toc12454036"/>
      <w:bookmarkStart w:id="118" w:name="_Toc18287649"/>
      <w:r>
        <w:rPr>
          <w:rFonts w:hint="eastAsia" w:ascii="楷体_GB2312" w:hAnsi="楷体_GB2312" w:eastAsia="楷体_GB2312" w:cs="楷体_GB2312"/>
          <w:b/>
          <w:bCs w:val="0"/>
          <w:color w:val="000000" w:themeColor="text1"/>
        </w:rPr>
        <w:t>（四）</w:t>
      </w:r>
      <w:bookmarkEnd w:id="114"/>
      <w:bookmarkEnd w:id="115"/>
      <w:bookmarkEnd w:id="116"/>
      <w:bookmarkEnd w:id="117"/>
      <w:bookmarkStart w:id="119" w:name="_Toc7209730"/>
      <w:bookmarkStart w:id="120" w:name="_Toc4588675"/>
      <w:bookmarkStart w:id="121" w:name="_Toc12454037"/>
      <w:bookmarkStart w:id="122" w:name="_Toc8658506"/>
      <w:r>
        <w:rPr>
          <w:rFonts w:hint="eastAsia" w:ascii="楷体_GB2312" w:hAnsi="楷体_GB2312" w:eastAsia="楷体_GB2312" w:cs="楷体_GB2312"/>
          <w:b/>
          <w:bCs w:val="0"/>
          <w:color w:val="000000" w:themeColor="text1"/>
        </w:rPr>
        <w:t>宣传保障</w:t>
      </w:r>
      <w:bookmarkEnd w:id="118"/>
      <w:bookmarkEnd w:id="119"/>
      <w:bookmarkEnd w:id="120"/>
      <w:bookmarkEnd w:id="121"/>
      <w:bookmarkEnd w:id="122"/>
      <w:r>
        <w:rPr>
          <w:rFonts w:hint="eastAsia" w:ascii="楷体_GB2312" w:hAnsi="楷体_GB2312" w:eastAsia="楷体_GB2312" w:cs="楷体_GB2312"/>
          <w:b/>
          <w:bCs w:val="0"/>
          <w:color w:val="000000" w:themeColor="text1"/>
        </w:rPr>
        <w:t xml:space="preserve"> </w:t>
      </w:r>
    </w:p>
    <w:p>
      <w:pPr>
        <w:pageBreakBefore w:val="0"/>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color w:val="000000" w:themeColor="text1"/>
          <w:sz w:val="32"/>
          <w:szCs w:val="32"/>
          <w:shd w:val="clear" w:color="auto" w:fill="FFFFFF"/>
        </w:rPr>
        <w:t>充分利用电视、报刊、广告、网站、微信等多种渠道，广泛宣传安康毛绒玩具文创产业政策及发展情况；借助龙舟文化节、油菜花节、茶文化节等活动展示我市毛绒玩具文创产业形象；定期举办毛绒玩具创意设计大赛、动漫IP创意设计大赛、产业发展高峰论坛、专家讲座等活动，扩大安康毛绒玩具文创产业影响力和美誉度，打造安康标志性品牌。</w:t>
      </w:r>
    </w:p>
    <w:p>
      <w:pPr>
        <w:pageBreakBefore w:val="0"/>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color w:val="000000" w:themeColor="text1"/>
          <w:sz w:val="32"/>
          <w:szCs w:val="32"/>
          <w:shd w:val="clear" w:color="auto" w:fill="FFFFFF"/>
        </w:rPr>
      </w:pPr>
      <w:r>
        <w:rPr>
          <w:rFonts w:hint="eastAsia" w:ascii="仿宋_GB2312" w:hAnsi="仿宋_GB2312" w:eastAsia="仿宋_GB2312" w:cs="仿宋_GB2312"/>
          <w:color w:val="000000" w:themeColor="text1"/>
          <w:sz w:val="32"/>
          <w:szCs w:val="32"/>
          <w:shd w:val="clear" w:color="auto" w:fill="FFFFFF"/>
        </w:rPr>
        <w:t xml:space="preserve"> </w:t>
      </w:r>
    </w:p>
    <w:p>
      <w:pPr>
        <w:pageBreakBefore w:val="0"/>
        <w:kinsoku/>
        <w:wordWrap/>
        <w:overflowPunct/>
        <w:topLinePunct w:val="0"/>
        <w:autoSpaceDE/>
        <w:autoSpaceDN/>
        <w:bidi w:val="0"/>
        <w:adjustRightInd/>
        <w:snapToGrid/>
        <w:spacing w:line="560" w:lineRule="exact"/>
        <w:jc w:val="both"/>
        <w:textAlignment w:val="auto"/>
        <w:rPr>
          <w:color w:val="000000" w:themeColor="text1"/>
        </w:rPr>
      </w:pPr>
    </w:p>
    <w:sectPr>
      <w:footerReference r:id="rId4" w:type="default"/>
      <w:footerReference r:id="rId5" w:type="even"/>
      <w:pgSz w:w="11906" w:h="16838"/>
      <w:pgMar w:top="2041" w:right="1474" w:bottom="1701" w:left="1587" w:header="851" w:footer="992" w:gutter="0"/>
      <w:pgNumType w:fmt="decimal"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379B364A-54FD-4DB1-BFB5-C9B1A267B441}"/>
  </w:font>
  <w:font w:name="宋体">
    <w:panose1 w:val="02010600030101010101"/>
    <w:charset w:val="86"/>
    <w:family w:val="auto"/>
    <w:pitch w:val="default"/>
    <w:sig w:usb0="00000003" w:usb1="288F0000" w:usb2="00000006" w:usb3="00000000" w:csb0="00040001" w:csb1="00000000"/>
    <w:embedRegular r:id="rId2" w:fontKey="{F8C5029E-A9C7-404E-ADC4-AEABCCE36D5B}"/>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3" w:fontKey="{C9FFCC2E-28B1-4C5B-B0F3-791268DDB97D}"/>
  </w:font>
  <w:font w:name="黑体">
    <w:panose1 w:val="02010600030101010101"/>
    <w:charset w:val="86"/>
    <w:family w:val="auto"/>
    <w:pitch w:val="default"/>
    <w:sig w:usb0="800002BF" w:usb1="38CF7CFA" w:usb2="00000016" w:usb3="00000000" w:csb0="00040001" w:csb1="00000000"/>
    <w:embedRegular r:id="rId4" w:fontKey="{A0F56E52-07B6-4CF0-B110-463B6BA23F7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5" w:fontKey="{F4A90EC3-6498-4263-B34E-BF4470DA0D33}"/>
  </w:font>
  <w:font w:name="Cambria">
    <w:panose1 w:val="02040503050406030204"/>
    <w:charset w:val="00"/>
    <w:family w:val="roman"/>
    <w:pitch w:val="default"/>
    <w:sig w:usb0="E00002FF" w:usb1="400004FF" w:usb2="00000000" w:usb3="00000000" w:csb0="2000019F" w:csb1="00000000"/>
  </w:font>
  <w:font w:name="方正小标宋简体">
    <w:panose1 w:val="02010601030101010101"/>
    <w:charset w:val="86"/>
    <w:family w:val="script"/>
    <w:pitch w:val="default"/>
    <w:sig w:usb0="00000001" w:usb1="080E0000" w:usb2="00000000" w:usb3="00000000" w:csb0="00040000" w:csb1="00000000"/>
    <w:embedRegular r:id="rId6" w:fontKey="{A00ADAD6-5820-45C6-8AA2-D8C78B66A3CF}"/>
  </w:font>
  <w:font w:name="仿宋_GB2312">
    <w:panose1 w:val="02010609030101010101"/>
    <w:charset w:val="86"/>
    <w:family w:val="modern"/>
    <w:pitch w:val="default"/>
    <w:sig w:usb0="00000001" w:usb1="080E0000" w:usb2="00000000" w:usb3="00000000" w:csb0="00040000" w:csb1="00000000"/>
    <w:embedRegular r:id="rId7" w:fontKey="{52110B9C-28A6-4C60-A3B4-432BE222B00E}"/>
  </w:font>
  <w:font w:name="仿宋">
    <w:panose1 w:val="02010609060101010101"/>
    <w:charset w:val="86"/>
    <w:family w:val="modern"/>
    <w:pitch w:val="default"/>
    <w:sig w:usb0="800002BF" w:usb1="38CF7CFA" w:usb2="00000016" w:usb3="00000000" w:csb0="00040001" w:csb1="00000000"/>
    <w:embedRegular r:id="rId8" w:fontKey="{ED0B934D-6562-4179-A389-C4016B3F061A}"/>
  </w:font>
  <w:font w:name="楷体_GB2312">
    <w:panose1 w:val="02010609030101010101"/>
    <w:charset w:val="86"/>
    <w:family w:val="modern"/>
    <w:pitch w:val="default"/>
    <w:sig w:usb0="00000001" w:usb1="080E0000" w:usb2="00000000" w:usb3="00000000" w:csb0="00040000" w:csb1="00000000"/>
    <w:embedRegular r:id="rId9" w:fontKey="{FB432504-C0C8-44DA-8879-0DD973F96B1E}"/>
  </w:font>
  <w:font w:name="楷体">
    <w:panose1 w:val="02010609060101010101"/>
    <w:charset w:val="86"/>
    <w:family w:val="modern"/>
    <w:pitch w:val="default"/>
    <w:sig w:usb0="800002BF" w:usb1="38CF7CFA" w:usb2="00000016" w:usb3="00000000" w:csb0="00040001" w:csb1="00000000"/>
    <w:embedRegular r:id="rId10" w:fontKey="{6524490C-F117-4816-AA8B-0D3D987B97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rPr>
        <w:sz w:val="18"/>
      </w:rPr>
      <w:pict>
        <v:shape id="_x0000_s4097" o:spid="_x0000_s4097" o:spt="202" type="#_x0000_t202" style="position:absolute;left:0pt;margin-left:408.5pt;margin-top:-3.75pt;height:20.7pt;width:44.25pt;mso-position-horizontal-relative:margin;z-index:251658240;mso-width-relative:page;mso-height-relative:page;" filled="f" stroked="f" coordsize="21600,21600">
          <v:path/>
          <v:fill on="f" focussize="0,0"/>
          <v:stroke on="f"/>
          <v:imagedata o:title=""/>
          <o:lock v:ext="edit" aspectratio="f"/>
          <v:textbox inset="0mm,0mm,0mm,0mm">
            <w:txbxContent>
              <w:p>
                <w:pPr>
                  <w:pStyle w:val="6"/>
                  <w:rPr>
                    <w:rFonts w:hint="default" w:ascii="Times New Roman" w:hAnsi="Times New Roman" w:cs="Times New Roman" w:eastAsiaTheme="minorEastAsia"/>
                    <w:sz w:val="28"/>
                    <w:szCs w:val="28"/>
                    <w:lang w:eastAsia="zh-CN"/>
                  </w:rPr>
                </w:pPr>
                <w:r>
                  <w:rPr>
                    <w:rFonts w:hint="eastAsia" w:ascii="Times New Roman" w:hAnsi="Times New Roman" w:cs="Times New Roman"/>
                    <w:sz w:val="28"/>
                    <w:szCs w:val="28"/>
                    <w:lang w:eastAsia="zh-CN"/>
                  </w:rPr>
                  <w:t>—</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3</w:t>
                </w:r>
                <w:r>
                  <w:rPr>
                    <w:rFonts w:hint="default" w:ascii="Times New Roman" w:hAnsi="Times New Roman" w:cs="Times New Roman"/>
                    <w:sz w:val="28"/>
                    <w:szCs w:val="28"/>
                    <w:lang w:eastAsia="zh-CN"/>
                  </w:rPr>
                  <w:fldChar w:fldCharType="end"/>
                </w:r>
                <w:r>
                  <w:rPr>
                    <w:rFonts w:hint="eastAsia" w:ascii="Times New Roman" w:hAnsi="Times New Roman" w:cs="Times New Roman"/>
                    <w:sz w:val="28"/>
                    <w:szCs w:val="28"/>
                    <w:lang w:eastAsia="zh-CN"/>
                  </w:rPr>
                  <w:t>—</w:t>
                </w:r>
              </w:p>
            </w:txbxContent>
          </v:textbox>
        </v:shape>
      </w:pict>
    </w:r>
  </w:p>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w:pict>
        <v:shape id="_x0000_s4098" o:spid="_x0000_s4098" o:spt="202" type="#_x0000_t202" style="position:absolute;left:0pt;margin-left:-2.55pt;margin-top:-9.75pt;height:15.45pt;width:54pt;mso-position-horizontal-relative:margin;z-index:251659264;mso-width-relative:page;mso-height-relative:page;" filled="f" stroked="f" coordsize="21600,21600">
          <v:path/>
          <v:fill on="f" focussize="0,0"/>
          <v:stroke on="f"/>
          <v:imagedata o:title=""/>
          <o:lock v:ext="edit" aspectratio="f"/>
          <v:textbox inset="0mm,0mm,0mm,0mm">
            <w:txbxContent>
              <w:p>
                <w:pPr>
                  <w:pStyle w:val="6"/>
                  <w:rPr>
                    <w:rFonts w:hint="default" w:ascii="Times New Roman" w:hAnsi="Times New Roman" w:cs="Times New Roman" w:eastAsiaTheme="minorEastAsia"/>
                    <w:sz w:val="28"/>
                    <w:szCs w:val="28"/>
                    <w:lang w:eastAsia="zh-CN"/>
                  </w:rPr>
                </w:pPr>
                <w:r>
                  <w:rPr>
                    <w:rFonts w:hint="eastAsia" w:ascii="Times New Roman" w:hAnsi="Times New Roman" w:cs="Times New Roman"/>
                    <w:sz w:val="28"/>
                    <w:szCs w:val="28"/>
                    <w:lang w:eastAsia="zh-CN"/>
                  </w:rPr>
                  <w:t>—</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2</w:t>
                </w:r>
                <w:r>
                  <w:rPr>
                    <w:rFonts w:hint="default" w:ascii="Times New Roman" w:hAnsi="Times New Roman" w:cs="Times New Roman"/>
                    <w:sz w:val="28"/>
                    <w:szCs w:val="28"/>
                    <w:lang w:eastAsia="zh-CN"/>
                  </w:rPr>
                  <w:fldChar w:fldCharType="end"/>
                </w:r>
                <w:r>
                  <w:rPr>
                    <w:rFonts w:hint="eastAsia" w:ascii="Times New Roman" w:hAnsi="Times New Roman" w:cs="Times New Roman"/>
                    <w:sz w:val="28"/>
                    <w:szCs w:val="28"/>
                    <w:lang w:eastAsia="zh-CN"/>
                  </w:rPr>
                  <w:t>—</w:t>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embedSystemFonts/>
  <w:saveSubsetFonts/>
  <w:bordersDoNotSurroundHeader w:val="1"/>
  <w:bordersDoNotSurroundFooter w:val="1"/>
  <w:documentProtection w:enforcement="0"/>
  <w:defaultTabStop w:val="420"/>
  <w:evenAndOddHeaders w:val="1"/>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5A7434"/>
    <w:rsid w:val="0000372C"/>
    <w:rsid w:val="00005A25"/>
    <w:rsid w:val="00007A87"/>
    <w:rsid w:val="000150A8"/>
    <w:rsid w:val="00016274"/>
    <w:rsid w:val="00016F94"/>
    <w:rsid w:val="00033894"/>
    <w:rsid w:val="00040382"/>
    <w:rsid w:val="0004344D"/>
    <w:rsid w:val="0004360C"/>
    <w:rsid w:val="00043E79"/>
    <w:rsid w:val="000515A2"/>
    <w:rsid w:val="00056D54"/>
    <w:rsid w:val="000571A9"/>
    <w:rsid w:val="0006140C"/>
    <w:rsid w:val="00065A17"/>
    <w:rsid w:val="0007328B"/>
    <w:rsid w:val="00081674"/>
    <w:rsid w:val="00081BEF"/>
    <w:rsid w:val="00091E70"/>
    <w:rsid w:val="00093A14"/>
    <w:rsid w:val="000947F3"/>
    <w:rsid w:val="000967CA"/>
    <w:rsid w:val="000A1CDA"/>
    <w:rsid w:val="000A25CF"/>
    <w:rsid w:val="000A26A4"/>
    <w:rsid w:val="000A27D4"/>
    <w:rsid w:val="000B271F"/>
    <w:rsid w:val="000D201C"/>
    <w:rsid w:val="000D62CE"/>
    <w:rsid w:val="000E31FC"/>
    <w:rsid w:val="000E6CCC"/>
    <w:rsid w:val="000F2FC9"/>
    <w:rsid w:val="000F4053"/>
    <w:rsid w:val="00101C36"/>
    <w:rsid w:val="00101D79"/>
    <w:rsid w:val="001031AE"/>
    <w:rsid w:val="00124040"/>
    <w:rsid w:val="00142B0F"/>
    <w:rsid w:val="0014396C"/>
    <w:rsid w:val="00143CF1"/>
    <w:rsid w:val="001450DB"/>
    <w:rsid w:val="00155C7A"/>
    <w:rsid w:val="00156808"/>
    <w:rsid w:val="00166191"/>
    <w:rsid w:val="00170341"/>
    <w:rsid w:val="00180F52"/>
    <w:rsid w:val="00187373"/>
    <w:rsid w:val="00192248"/>
    <w:rsid w:val="00194775"/>
    <w:rsid w:val="00195E18"/>
    <w:rsid w:val="001A0805"/>
    <w:rsid w:val="001A3D11"/>
    <w:rsid w:val="001A4206"/>
    <w:rsid w:val="001B256D"/>
    <w:rsid w:val="001B2C91"/>
    <w:rsid w:val="001C078E"/>
    <w:rsid w:val="001C3D35"/>
    <w:rsid w:val="001C5048"/>
    <w:rsid w:val="001C5103"/>
    <w:rsid w:val="001C5902"/>
    <w:rsid w:val="001D21E6"/>
    <w:rsid w:val="00210D57"/>
    <w:rsid w:val="00222F7B"/>
    <w:rsid w:val="0022479E"/>
    <w:rsid w:val="00227C30"/>
    <w:rsid w:val="00231247"/>
    <w:rsid w:val="00232470"/>
    <w:rsid w:val="0023385A"/>
    <w:rsid w:val="0024283B"/>
    <w:rsid w:val="002471E9"/>
    <w:rsid w:val="00247680"/>
    <w:rsid w:val="00255B46"/>
    <w:rsid w:val="002607B0"/>
    <w:rsid w:val="002644E8"/>
    <w:rsid w:val="0026753D"/>
    <w:rsid w:val="00270184"/>
    <w:rsid w:val="00275264"/>
    <w:rsid w:val="00280E96"/>
    <w:rsid w:val="002813B1"/>
    <w:rsid w:val="00285B83"/>
    <w:rsid w:val="002903E8"/>
    <w:rsid w:val="0029720C"/>
    <w:rsid w:val="002A29BC"/>
    <w:rsid w:val="002A6026"/>
    <w:rsid w:val="002A7ACA"/>
    <w:rsid w:val="002B5DE3"/>
    <w:rsid w:val="002B6D9A"/>
    <w:rsid w:val="002C0D32"/>
    <w:rsid w:val="002C1CF6"/>
    <w:rsid w:val="002D074D"/>
    <w:rsid w:val="002D3F61"/>
    <w:rsid w:val="002D553E"/>
    <w:rsid w:val="002D7153"/>
    <w:rsid w:val="002D759D"/>
    <w:rsid w:val="002E238D"/>
    <w:rsid w:val="002E5C50"/>
    <w:rsid w:val="002F1CB5"/>
    <w:rsid w:val="002F3FF8"/>
    <w:rsid w:val="002F545F"/>
    <w:rsid w:val="0030138E"/>
    <w:rsid w:val="00302BD2"/>
    <w:rsid w:val="003068E7"/>
    <w:rsid w:val="0031584F"/>
    <w:rsid w:val="00322AA2"/>
    <w:rsid w:val="00325DE0"/>
    <w:rsid w:val="0034240B"/>
    <w:rsid w:val="0034577D"/>
    <w:rsid w:val="0035543B"/>
    <w:rsid w:val="00361CB0"/>
    <w:rsid w:val="00362578"/>
    <w:rsid w:val="00363587"/>
    <w:rsid w:val="003771B0"/>
    <w:rsid w:val="00384CE9"/>
    <w:rsid w:val="00386D7B"/>
    <w:rsid w:val="00390F03"/>
    <w:rsid w:val="0039192C"/>
    <w:rsid w:val="00393947"/>
    <w:rsid w:val="00395D4F"/>
    <w:rsid w:val="00397686"/>
    <w:rsid w:val="003A7964"/>
    <w:rsid w:val="003B4F59"/>
    <w:rsid w:val="003C0F58"/>
    <w:rsid w:val="003C48C9"/>
    <w:rsid w:val="003D2393"/>
    <w:rsid w:val="003D3C57"/>
    <w:rsid w:val="003D584E"/>
    <w:rsid w:val="003D708E"/>
    <w:rsid w:val="003E2BF5"/>
    <w:rsid w:val="003E624B"/>
    <w:rsid w:val="003E6F1C"/>
    <w:rsid w:val="003F3ED2"/>
    <w:rsid w:val="003F402C"/>
    <w:rsid w:val="003F4F55"/>
    <w:rsid w:val="00400D42"/>
    <w:rsid w:val="00406CAE"/>
    <w:rsid w:val="004114AC"/>
    <w:rsid w:val="0041454A"/>
    <w:rsid w:val="00414CB4"/>
    <w:rsid w:val="00420538"/>
    <w:rsid w:val="00420709"/>
    <w:rsid w:val="00422399"/>
    <w:rsid w:val="00427D5F"/>
    <w:rsid w:val="00441860"/>
    <w:rsid w:val="00442B51"/>
    <w:rsid w:val="0044499C"/>
    <w:rsid w:val="00464E7A"/>
    <w:rsid w:val="0046515D"/>
    <w:rsid w:val="004670E7"/>
    <w:rsid w:val="004731CC"/>
    <w:rsid w:val="00485E71"/>
    <w:rsid w:val="00495478"/>
    <w:rsid w:val="00497EF0"/>
    <w:rsid w:val="004A32AC"/>
    <w:rsid w:val="004A691E"/>
    <w:rsid w:val="004B1450"/>
    <w:rsid w:val="004B4906"/>
    <w:rsid w:val="004C68AD"/>
    <w:rsid w:val="004D1A1F"/>
    <w:rsid w:val="004D2C37"/>
    <w:rsid w:val="004E1DAD"/>
    <w:rsid w:val="004F0FEC"/>
    <w:rsid w:val="004F1093"/>
    <w:rsid w:val="004F202D"/>
    <w:rsid w:val="00501C67"/>
    <w:rsid w:val="0050382A"/>
    <w:rsid w:val="00511330"/>
    <w:rsid w:val="00530AE7"/>
    <w:rsid w:val="005410BF"/>
    <w:rsid w:val="00544922"/>
    <w:rsid w:val="00544C7F"/>
    <w:rsid w:val="00546262"/>
    <w:rsid w:val="00550D03"/>
    <w:rsid w:val="005568EA"/>
    <w:rsid w:val="00575C6B"/>
    <w:rsid w:val="00575ED3"/>
    <w:rsid w:val="005769A4"/>
    <w:rsid w:val="00580330"/>
    <w:rsid w:val="00587D83"/>
    <w:rsid w:val="005A50A7"/>
    <w:rsid w:val="005A5687"/>
    <w:rsid w:val="005A7434"/>
    <w:rsid w:val="005B2C53"/>
    <w:rsid w:val="005B3BC9"/>
    <w:rsid w:val="005B4F01"/>
    <w:rsid w:val="005C0F8B"/>
    <w:rsid w:val="005D65ED"/>
    <w:rsid w:val="005E4B81"/>
    <w:rsid w:val="005E5CFC"/>
    <w:rsid w:val="005F3566"/>
    <w:rsid w:val="005F6076"/>
    <w:rsid w:val="006010B7"/>
    <w:rsid w:val="00624A37"/>
    <w:rsid w:val="00626498"/>
    <w:rsid w:val="00631CC6"/>
    <w:rsid w:val="0063707B"/>
    <w:rsid w:val="00642486"/>
    <w:rsid w:val="0064273D"/>
    <w:rsid w:val="00646F03"/>
    <w:rsid w:val="006529FD"/>
    <w:rsid w:val="0066049F"/>
    <w:rsid w:val="00660A56"/>
    <w:rsid w:val="0066500C"/>
    <w:rsid w:val="0067005F"/>
    <w:rsid w:val="006726BF"/>
    <w:rsid w:val="006751B9"/>
    <w:rsid w:val="006816BF"/>
    <w:rsid w:val="00683F5C"/>
    <w:rsid w:val="00694D82"/>
    <w:rsid w:val="006B4687"/>
    <w:rsid w:val="006B65B7"/>
    <w:rsid w:val="006D4CCA"/>
    <w:rsid w:val="006D54E6"/>
    <w:rsid w:val="006E366F"/>
    <w:rsid w:val="006F0D38"/>
    <w:rsid w:val="006F7CFB"/>
    <w:rsid w:val="00701743"/>
    <w:rsid w:val="00701E76"/>
    <w:rsid w:val="00703E2C"/>
    <w:rsid w:val="00713A1F"/>
    <w:rsid w:val="0071675F"/>
    <w:rsid w:val="00724E9B"/>
    <w:rsid w:val="0072727E"/>
    <w:rsid w:val="007352EC"/>
    <w:rsid w:val="0074355D"/>
    <w:rsid w:val="0075157D"/>
    <w:rsid w:val="00757F3A"/>
    <w:rsid w:val="0076616F"/>
    <w:rsid w:val="00770814"/>
    <w:rsid w:val="00771EFC"/>
    <w:rsid w:val="0077516B"/>
    <w:rsid w:val="007768AB"/>
    <w:rsid w:val="00780640"/>
    <w:rsid w:val="007806D0"/>
    <w:rsid w:val="0079150B"/>
    <w:rsid w:val="0079283C"/>
    <w:rsid w:val="00794423"/>
    <w:rsid w:val="0079673A"/>
    <w:rsid w:val="00797527"/>
    <w:rsid w:val="007A1D9A"/>
    <w:rsid w:val="007A351F"/>
    <w:rsid w:val="007C22DF"/>
    <w:rsid w:val="007C2A59"/>
    <w:rsid w:val="007C7677"/>
    <w:rsid w:val="007D0F73"/>
    <w:rsid w:val="007D17EC"/>
    <w:rsid w:val="007D3F40"/>
    <w:rsid w:val="007D4A9E"/>
    <w:rsid w:val="007D5AB3"/>
    <w:rsid w:val="007D6499"/>
    <w:rsid w:val="007F0DFA"/>
    <w:rsid w:val="0080599E"/>
    <w:rsid w:val="00810641"/>
    <w:rsid w:val="00810853"/>
    <w:rsid w:val="00815599"/>
    <w:rsid w:val="00815C35"/>
    <w:rsid w:val="00822F78"/>
    <w:rsid w:val="00827A41"/>
    <w:rsid w:val="00835CF6"/>
    <w:rsid w:val="00837CDA"/>
    <w:rsid w:val="008407FA"/>
    <w:rsid w:val="008420BE"/>
    <w:rsid w:val="0084436B"/>
    <w:rsid w:val="008454E2"/>
    <w:rsid w:val="00846312"/>
    <w:rsid w:val="00861CCA"/>
    <w:rsid w:val="00877338"/>
    <w:rsid w:val="00881EC1"/>
    <w:rsid w:val="00882B4F"/>
    <w:rsid w:val="008A44E9"/>
    <w:rsid w:val="008A4999"/>
    <w:rsid w:val="008A70AC"/>
    <w:rsid w:val="008B1482"/>
    <w:rsid w:val="008B427A"/>
    <w:rsid w:val="008C3324"/>
    <w:rsid w:val="008D3576"/>
    <w:rsid w:val="008D6490"/>
    <w:rsid w:val="008D7B3C"/>
    <w:rsid w:val="008E6F0E"/>
    <w:rsid w:val="008F025D"/>
    <w:rsid w:val="008F0882"/>
    <w:rsid w:val="008F0A0D"/>
    <w:rsid w:val="00901186"/>
    <w:rsid w:val="00903B30"/>
    <w:rsid w:val="00903FCB"/>
    <w:rsid w:val="009052A6"/>
    <w:rsid w:val="00912411"/>
    <w:rsid w:val="0091457C"/>
    <w:rsid w:val="00917FCB"/>
    <w:rsid w:val="00933A82"/>
    <w:rsid w:val="009513C5"/>
    <w:rsid w:val="0096146C"/>
    <w:rsid w:val="0097485E"/>
    <w:rsid w:val="009930E7"/>
    <w:rsid w:val="00997315"/>
    <w:rsid w:val="009A030F"/>
    <w:rsid w:val="009A1414"/>
    <w:rsid w:val="009C42E2"/>
    <w:rsid w:val="009C5B27"/>
    <w:rsid w:val="009C63F2"/>
    <w:rsid w:val="009D086D"/>
    <w:rsid w:val="009D3E83"/>
    <w:rsid w:val="009D5F6B"/>
    <w:rsid w:val="009D796F"/>
    <w:rsid w:val="009D7BC5"/>
    <w:rsid w:val="009E52A2"/>
    <w:rsid w:val="009F2A44"/>
    <w:rsid w:val="009F35A4"/>
    <w:rsid w:val="009F3B40"/>
    <w:rsid w:val="00A11E32"/>
    <w:rsid w:val="00A1576D"/>
    <w:rsid w:val="00A20EFD"/>
    <w:rsid w:val="00A31B55"/>
    <w:rsid w:val="00A33232"/>
    <w:rsid w:val="00A37C02"/>
    <w:rsid w:val="00A40E72"/>
    <w:rsid w:val="00A410F8"/>
    <w:rsid w:val="00A447A2"/>
    <w:rsid w:val="00A532F9"/>
    <w:rsid w:val="00A53D04"/>
    <w:rsid w:val="00A60FDD"/>
    <w:rsid w:val="00A61936"/>
    <w:rsid w:val="00A62853"/>
    <w:rsid w:val="00A81655"/>
    <w:rsid w:val="00A82572"/>
    <w:rsid w:val="00A830CF"/>
    <w:rsid w:val="00A84BCF"/>
    <w:rsid w:val="00A8525F"/>
    <w:rsid w:val="00AA5F45"/>
    <w:rsid w:val="00AB1726"/>
    <w:rsid w:val="00AB7DE3"/>
    <w:rsid w:val="00AC512A"/>
    <w:rsid w:val="00AD383C"/>
    <w:rsid w:val="00AD437E"/>
    <w:rsid w:val="00AE61CA"/>
    <w:rsid w:val="00B0534D"/>
    <w:rsid w:val="00B062B9"/>
    <w:rsid w:val="00B069EF"/>
    <w:rsid w:val="00B0724F"/>
    <w:rsid w:val="00B07D42"/>
    <w:rsid w:val="00B10C05"/>
    <w:rsid w:val="00B13FD3"/>
    <w:rsid w:val="00B14357"/>
    <w:rsid w:val="00B14427"/>
    <w:rsid w:val="00B15E42"/>
    <w:rsid w:val="00B27DA5"/>
    <w:rsid w:val="00B3022E"/>
    <w:rsid w:val="00B31780"/>
    <w:rsid w:val="00B45711"/>
    <w:rsid w:val="00B45757"/>
    <w:rsid w:val="00B52218"/>
    <w:rsid w:val="00B56524"/>
    <w:rsid w:val="00B6244C"/>
    <w:rsid w:val="00B838BB"/>
    <w:rsid w:val="00B96F22"/>
    <w:rsid w:val="00BA2F5C"/>
    <w:rsid w:val="00BB5CBB"/>
    <w:rsid w:val="00BB6608"/>
    <w:rsid w:val="00BD21FE"/>
    <w:rsid w:val="00BD43B8"/>
    <w:rsid w:val="00BD4850"/>
    <w:rsid w:val="00BD5779"/>
    <w:rsid w:val="00BE3384"/>
    <w:rsid w:val="00BE6A79"/>
    <w:rsid w:val="00BF3D68"/>
    <w:rsid w:val="00BF73C8"/>
    <w:rsid w:val="00C03B15"/>
    <w:rsid w:val="00C04F03"/>
    <w:rsid w:val="00C04F3C"/>
    <w:rsid w:val="00C16C2A"/>
    <w:rsid w:val="00C17509"/>
    <w:rsid w:val="00C23EDB"/>
    <w:rsid w:val="00C27569"/>
    <w:rsid w:val="00C30B9D"/>
    <w:rsid w:val="00C42DA0"/>
    <w:rsid w:val="00C45744"/>
    <w:rsid w:val="00C47C74"/>
    <w:rsid w:val="00C50139"/>
    <w:rsid w:val="00C50CBC"/>
    <w:rsid w:val="00C55B52"/>
    <w:rsid w:val="00C6097F"/>
    <w:rsid w:val="00C63F0D"/>
    <w:rsid w:val="00C66DF8"/>
    <w:rsid w:val="00C73086"/>
    <w:rsid w:val="00C76F05"/>
    <w:rsid w:val="00C83C7F"/>
    <w:rsid w:val="00C8551C"/>
    <w:rsid w:val="00C93722"/>
    <w:rsid w:val="00CA09E2"/>
    <w:rsid w:val="00CB5C7D"/>
    <w:rsid w:val="00CB74C5"/>
    <w:rsid w:val="00CD7895"/>
    <w:rsid w:val="00CE212C"/>
    <w:rsid w:val="00CE60FC"/>
    <w:rsid w:val="00CF21F6"/>
    <w:rsid w:val="00CF34D9"/>
    <w:rsid w:val="00D0190E"/>
    <w:rsid w:val="00D03DDB"/>
    <w:rsid w:val="00D13165"/>
    <w:rsid w:val="00D20323"/>
    <w:rsid w:val="00D224B9"/>
    <w:rsid w:val="00D225B1"/>
    <w:rsid w:val="00D25990"/>
    <w:rsid w:val="00D34AC5"/>
    <w:rsid w:val="00D372BE"/>
    <w:rsid w:val="00D40AE3"/>
    <w:rsid w:val="00D52AB6"/>
    <w:rsid w:val="00D552C5"/>
    <w:rsid w:val="00D57EC0"/>
    <w:rsid w:val="00D74252"/>
    <w:rsid w:val="00D82B8C"/>
    <w:rsid w:val="00D85048"/>
    <w:rsid w:val="00D85319"/>
    <w:rsid w:val="00DA18B4"/>
    <w:rsid w:val="00DA69A7"/>
    <w:rsid w:val="00DB0DF3"/>
    <w:rsid w:val="00DB37B8"/>
    <w:rsid w:val="00DB75AB"/>
    <w:rsid w:val="00DC753F"/>
    <w:rsid w:val="00DC7F4B"/>
    <w:rsid w:val="00DD13B7"/>
    <w:rsid w:val="00DD635A"/>
    <w:rsid w:val="00DD687F"/>
    <w:rsid w:val="00DE6F3A"/>
    <w:rsid w:val="00DF145A"/>
    <w:rsid w:val="00DF4779"/>
    <w:rsid w:val="00DF631C"/>
    <w:rsid w:val="00DF6AC9"/>
    <w:rsid w:val="00E02F86"/>
    <w:rsid w:val="00E03025"/>
    <w:rsid w:val="00E07864"/>
    <w:rsid w:val="00E07DB6"/>
    <w:rsid w:val="00E15E5A"/>
    <w:rsid w:val="00E16E02"/>
    <w:rsid w:val="00E17AE0"/>
    <w:rsid w:val="00E24DAE"/>
    <w:rsid w:val="00E24E7A"/>
    <w:rsid w:val="00E32276"/>
    <w:rsid w:val="00E32D6B"/>
    <w:rsid w:val="00E3520D"/>
    <w:rsid w:val="00E434BD"/>
    <w:rsid w:val="00E43F0E"/>
    <w:rsid w:val="00E5088D"/>
    <w:rsid w:val="00E50A92"/>
    <w:rsid w:val="00E560E6"/>
    <w:rsid w:val="00E56209"/>
    <w:rsid w:val="00E57A7F"/>
    <w:rsid w:val="00E67DA2"/>
    <w:rsid w:val="00E74311"/>
    <w:rsid w:val="00E8003F"/>
    <w:rsid w:val="00E85E20"/>
    <w:rsid w:val="00EA2464"/>
    <w:rsid w:val="00EA611F"/>
    <w:rsid w:val="00EB13EC"/>
    <w:rsid w:val="00EB3E65"/>
    <w:rsid w:val="00EB76BE"/>
    <w:rsid w:val="00EC7DBA"/>
    <w:rsid w:val="00ED3E03"/>
    <w:rsid w:val="00ED5E97"/>
    <w:rsid w:val="00EE2E8A"/>
    <w:rsid w:val="00EE7030"/>
    <w:rsid w:val="00EF0656"/>
    <w:rsid w:val="00EF2AEC"/>
    <w:rsid w:val="00EF498F"/>
    <w:rsid w:val="00EF4C98"/>
    <w:rsid w:val="00EF577E"/>
    <w:rsid w:val="00EF6DB7"/>
    <w:rsid w:val="00F07273"/>
    <w:rsid w:val="00F15FFA"/>
    <w:rsid w:val="00F31315"/>
    <w:rsid w:val="00F377F9"/>
    <w:rsid w:val="00F4139D"/>
    <w:rsid w:val="00F4188B"/>
    <w:rsid w:val="00F42F5F"/>
    <w:rsid w:val="00F519B4"/>
    <w:rsid w:val="00F522C9"/>
    <w:rsid w:val="00F53994"/>
    <w:rsid w:val="00F5766D"/>
    <w:rsid w:val="00F650AA"/>
    <w:rsid w:val="00F66CA9"/>
    <w:rsid w:val="00F66FA9"/>
    <w:rsid w:val="00F70F6F"/>
    <w:rsid w:val="00F8262D"/>
    <w:rsid w:val="00F85C7D"/>
    <w:rsid w:val="00F90840"/>
    <w:rsid w:val="00FA2ACF"/>
    <w:rsid w:val="00FA3FDD"/>
    <w:rsid w:val="00FB19A2"/>
    <w:rsid w:val="00FC6283"/>
    <w:rsid w:val="00FC7823"/>
    <w:rsid w:val="00FD6A0A"/>
    <w:rsid w:val="00FE1088"/>
    <w:rsid w:val="00FE1933"/>
    <w:rsid w:val="00FE24B9"/>
    <w:rsid w:val="00FE2629"/>
    <w:rsid w:val="00FE4990"/>
    <w:rsid w:val="00FE52B5"/>
    <w:rsid w:val="00FE7D94"/>
    <w:rsid w:val="00FF0716"/>
    <w:rsid w:val="00FF6484"/>
    <w:rsid w:val="00FF6913"/>
    <w:rsid w:val="00FF7002"/>
    <w:rsid w:val="03695DD9"/>
    <w:rsid w:val="03EF1143"/>
    <w:rsid w:val="0537440C"/>
    <w:rsid w:val="057C25DD"/>
    <w:rsid w:val="05BA7502"/>
    <w:rsid w:val="065460F6"/>
    <w:rsid w:val="089E6315"/>
    <w:rsid w:val="08E47193"/>
    <w:rsid w:val="0B6C0AA3"/>
    <w:rsid w:val="0C3B4A30"/>
    <w:rsid w:val="0FA55270"/>
    <w:rsid w:val="129A271A"/>
    <w:rsid w:val="13AA2F2E"/>
    <w:rsid w:val="15E1208C"/>
    <w:rsid w:val="16A701E3"/>
    <w:rsid w:val="17623507"/>
    <w:rsid w:val="186E4CDA"/>
    <w:rsid w:val="189F0BB0"/>
    <w:rsid w:val="18FF025C"/>
    <w:rsid w:val="1955017A"/>
    <w:rsid w:val="1C3C44F4"/>
    <w:rsid w:val="21C66DED"/>
    <w:rsid w:val="25E12EBF"/>
    <w:rsid w:val="27F7150B"/>
    <w:rsid w:val="2A412217"/>
    <w:rsid w:val="2A5D288A"/>
    <w:rsid w:val="2B5440F7"/>
    <w:rsid w:val="2C1B6FD3"/>
    <w:rsid w:val="2E050049"/>
    <w:rsid w:val="3390661A"/>
    <w:rsid w:val="34881796"/>
    <w:rsid w:val="36514899"/>
    <w:rsid w:val="37CF6FFF"/>
    <w:rsid w:val="386037DA"/>
    <w:rsid w:val="3BBA2D43"/>
    <w:rsid w:val="3BE33B23"/>
    <w:rsid w:val="3DA228E4"/>
    <w:rsid w:val="41D60599"/>
    <w:rsid w:val="458A65A4"/>
    <w:rsid w:val="458D60F0"/>
    <w:rsid w:val="483E06BA"/>
    <w:rsid w:val="497341E2"/>
    <w:rsid w:val="497970E6"/>
    <w:rsid w:val="4BA6576C"/>
    <w:rsid w:val="4D723A2B"/>
    <w:rsid w:val="4F1C0451"/>
    <w:rsid w:val="505A5370"/>
    <w:rsid w:val="50AD3B1A"/>
    <w:rsid w:val="52130096"/>
    <w:rsid w:val="53993F28"/>
    <w:rsid w:val="55C14A2A"/>
    <w:rsid w:val="571B1677"/>
    <w:rsid w:val="588D5716"/>
    <w:rsid w:val="5C0A0220"/>
    <w:rsid w:val="5C675DEE"/>
    <w:rsid w:val="5CE925BF"/>
    <w:rsid w:val="5CF228B0"/>
    <w:rsid w:val="5D5011FE"/>
    <w:rsid w:val="61923A2A"/>
    <w:rsid w:val="61CA3BB1"/>
    <w:rsid w:val="63241633"/>
    <w:rsid w:val="638566B9"/>
    <w:rsid w:val="649656AB"/>
    <w:rsid w:val="68D41CC0"/>
    <w:rsid w:val="6B184881"/>
    <w:rsid w:val="6C38728D"/>
    <w:rsid w:val="6FB26E90"/>
    <w:rsid w:val="712775F4"/>
    <w:rsid w:val="721D4D4E"/>
    <w:rsid w:val="73126656"/>
    <w:rsid w:val="752D1341"/>
    <w:rsid w:val="755C4DE6"/>
    <w:rsid w:val="75627957"/>
    <w:rsid w:val="767A5F1B"/>
    <w:rsid w:val="78E824B6"/>
    <w:rsid w:val="796E086B"/>
    <w:rsid w:val="7B7A74A6"/>
    <w:rsid w:val="7C9160F9"/>
    <w:rsid w:val="7CFF5EE0"/>
    <w:rsid w:val="7FB168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4">
    <w:name w:val="toc 3"/>
    <w:basedOn w:val="1"/>
    <w:next w:val="1"/>
    <w:unhideWhenUsed/>
    <w:qFormat/>
    <w:uiPriority w:val="39"/>
    <w:pPr>
      <w:widowControl/>
      <w:spacing w:after="100" w:line="276" w:lineRule="auto"/>
      <w:ind w:left="440"/>
      <w:jc w:val="left"/>
    </w:pPr>
    <w:rPr>
      <w:kern w:val="0"/>
      <w:sz w:val="22"/>
    </w:rPr>
  </w:style>
  <w:style w:type="paragraph" w:styleId="5">
    <w:name w:val="Balloon Text"/>
    <w:basedOn w:val="1"/>
    <w:link w:val="22"/>
    <w:semiHidden/>
    <w:unhideWhenUsed/>
    <w:qFormat/>
    <w:uiPriority w:val="99"/>
    <w:rPr>
      <w:sz w:val="18"/>
      <w:szCs w:val="18"/>
    </w:rPr>
  </w:style>
  <w:style w:type="paragraph" w:styleId="6">
    <w:name w:val="footer"/>
    <w:basedOn w:val="1"/>
    <w:link w:val="20"/>
    <w:unhideWhenUsed/>
    <w:qFormat/>
    <w:uiPriority w:val="99"/>
    <w:pPr>
      <w:tabs>
        <w:tab w:val="center" w:pos="4153"/>
        <w:tab w:val="right" w:pos="8306"/>
      </w:tabs>
      <w:snapToGrid w:val="0"/>
      <w:jc w:val="left"/>
    </w:pPr>
    <w:rPr>
      <w:rFonts w:ascii="Calibri" w:hAnsi="Calibri" w:eastAsia="宋体" w:cs="Times New Roman"/>
      <w:sz w:val="18"/>
      <w:szCs w:val="18"/>
    </w:rPr>
  </w:style>
  <w:style w:type="paragraph" w:styleId="7">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widowControl/>
      <w:tabs>
        <w:tab w:val="right" w:leader="dot" w:pos="8302"/>
      </w:tabs>
      <w:jc w:val="left"/>
    </w:pPr>
    <w:rPr>
      <w:kern w:val="0"/>
      <w:sz w:val="22"/>
    </w:rPr>
  </w:style>
  <w:style w:type="paragraph" w:styleId="9">
    <w:name w:val="footnote text"/>
    <w:basedOn w:val="1"/>
    <w:link w:val="24"/>
    <w:semiHidden/>
    <w:unhideWhenUsed/>
    <w:qFormat/>
    <w:uiPriority w:val="99"/>
    <w:pPr>
      <w:snapToGrid w:val="0"/>
      <w:jc w:val="left"/>
    </w:pPr>
    <w:rPr>
      <w:sz w:val="18"/>
      <w:szCs w:val="18"/>
    </w:rPr>
  </w:style>
  <w:style w:type="paragraph" w:styleId="10">
    <w:name w:val="toc 2"/>
    <w:basedOn w:val="1"/>
    <w:next w:val="1"/>
    <w:unhideWhenUsed/>
    <w:qFormat/>
    <w:uiPriority w:val="39"/>
    <w:pPr>
      <w:widowControl/>
      <w:spacing w:after="100" w:line="276" w:lineRule="auto"/>
      <w:ind w:left="220"/>
      <w:jc w:val="left"/>
    </w:pPr>
    <w:rPr>
      <w:kern w:val="0"/>
      <w:sz w:val="22"/>
    </w:rPr>
  </w:style>
  <w:style w:type="paragraph" w:styleId="11">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basedOn w:val="14"/>
    <w:qFormat/>
    <w:uiPriority w:val="0"/>
  </w:style>
  <w:style w:type="character" w:styleId="16">
    <w:name w:val="Hyperlink"/>
    <w:basedOn w:val="14"/>
    <w:unhideWhenUsed/>
    <w:qFormat/>
    <w:uiPriority w:val="99"/>
    <w:rPr>
      <w:color w:val="0000FF" w:themeColor="hyperlink"/>
      <w:u w:val="single"/>
    </w:rPr>
  </w:style>
  <w:style w:type="character" w:styleId="17">
    <w:name w:val="footnote reference"/>
    <w:basedOn w:val="14"/>
    <w:semiHidden/>
    <w:unhideWhenUsed/>
    <w:qFormat/>
    <w:uiPriority w:val="99"/>
    <w:rPr>
      <w:vertAlign w:val="superscript"/>
    </w:rPr>
  </w:style>
  <w:style w:type="character" w:customStyle="1" w:styleId="18">
    <w:name w:val="标题 1 Char"/>
    <w:basedOn w:val="14"/>
    <w:link w:val="2"/>
    <w:qFormat/>
    <w:uiPriority w:val="9"/>
    <w:rPr>
      <w:b/>
      <w:bCs/>
      <w:kern w:val="44"/>
      <w:sz w:val="44"/>
      <w:szCs w:val="44"/>
    </w:rPr>
  </w:style>
  <w:style w:type="character" w:customStyle="1" w:styleId="19">
    <w:name w:val="标题 2 Char"/>
    <w:basedOn w:val="14"/>
    <w:link w:val="3"/>
    <w:qFormat/>
    <w:uiPriority w:val="9"/>
    <w:rPr>
      <w:rFonts w:asciiTheme="majorHAnsi" w:hAnsiTheme="majorHAnsi" w:eastAsiaTheme="majorEastAsia" w:cstheme="majorBidi"/>
      <w:b/>
      <w:bCs/>
      <w:sz w:val="32"/>
      <w:szCs w:val="32"/>
    </w:rPr>
  </w:style>
  <w:style w:type="character" w:customStyle="1" w:styleId="20">
    <w:name w:val="页脚 Char"/>
    <w:basedOn w:val="14"/>
    <w:link w:val="6"/>
    <w:qFormat/>
    <w:uiPriority w:val="99"/>
    <w:rPr>
      <w:rFonts w:ascii="Calibri" w:hAnsi="Calibri" w:eastAsia="宋体" w:cs="Times New Roman"/>
      <w:sz w:val="18"/>
      <w:szCs w:val="18"/>
    </w:rPr>
  </w:style>
  <w:style w:type="paragraph" w:customStyle="1" w:styleId="21">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22">
    <w:name w:val="批注框文本 Char"/>
    <w:basedOn w:val="14"/>
    <w:link w:val="5"/>
    <w:semiHidden/>
    <w:qFormat/>
    <w:uiPriority w:val="99"/>
    <w:rPr>
      <w:sz w:val="18"/>
      <w:szCs w:val="18"/>
    </w:rPr>
  </w:style>
  <w:style w:type="character" w:customStyle="1" w:styleId="23">
    <w:name w:val="页眉 Char"/>
    <w:basedOn w:val="14"/>
    <w:link w:val="7"/>
    <w:qFormat/>
    <w:uiPriority w:val="99"/>
    <w:rPr>
      <w:sz w:val="18"/>
      <w:szCs w:val="18"/>
    </w:rPr>
  </w:style>
  <w:style w:type="character" w:customStyle="1" w:styleId="24">
    <w:name w:val="脚注文本 Char"/>
    <w:basedOn w:val="14"/>
    <w:link w:val="9"/>
    <w:semiHidden/>
    <w:qFormat/>
    <w:uiPriority w:val="99"/>
    <w:rPr>
      <w:kern w:val="2"/>
      <w:sz w:val="18"/>
      <w:szCs w:val="18"/>
    </w:rPr>
  </w:style>
  <w:style w:type="paragraph" w:customStyle="1" w:styleId="25">
    <w:name w:val="默认段落字体 Para Char Char Char Char"/>
    <w:basedOn w:val="1"/>
    <w:qFormat/>
    <w:uiPriority w:val="0"/>
    <w:pPr>
      <w:ind w:firstLine="21" w:firstLineChars="200"/>
      <w:jc w:val="left"/>
    </w:pPr>
    <w:rPr>
      <w:rFonts w:ascii="Times New Roman" w:hAnsi="Times New Roman"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4097" textRotate="1"/>
    <customShpInfo spid="_x0000_s4098"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CEA2139-6761-407E-B350-0564EC7AAD39}">
  <ds:schemaRefs/>
</ds:datastoreItem>
</file>

<file path=docProps/app.xml><?xml version="1.0" encoding="utf-8"?>
<Properties xmlns="http://schemas.openxmlformats.org/officeDocument/2006/extended-properties" xmlns:vt="http://schemas.openxmlformats.org/officeDocument/2006/docPropsVTypes">
  <Template>Normal</Template>
  <Company>ylmfeng.com</Company>
  <Pages>31</Pages>
  <Words>2468</Words>
  <Characters>14073</Characters>
  <Lines>117</Lines>
  <Paragraphs>33</Paragraphs>
  <TotalTime>5</TotalTime>
  <ScaleCrop>false</ScaleCrop>
  <LinksUpToDate>false</LinksUpToDate>
  <CharactersWithSpaces>16508</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2019-08-27T08:45:00Z</dcterms:created>
  <dc:creator>ylmfeng</dc:creator>
  <cp:lastModifiedBy>雨1427120218</cp:lastModifiedBy>
  <cp:lastPrinted>2019-11-07T00:52:00Z</cp:lastPrinted>
  <dcterms:modified xsi:type="dcterms:W3CDTF">2019-11-08T02:44:13Z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